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800000"/>
          <w:spacing w:val="0"/>
          <w:sz w:val="24"/>
          <w:szCs w:val="24"/>
          <w:shd w:val="clear" w:fill="FFFFFF"/>
        </w:rPr>
        <w:t>中华人民共和国主席令</w:t>
      </w:r>
      <w:r>
        <w:rPr>
          <w:rFonts w:hint="eastAsia" w:ascii="宋体" w:hAnsi="宋体" w:eastAsia="宋体" w:cs="宋体"/>
          <w:i w:val="0"/>
          <w:caps w:val="0"/>
          <w:color w:val="800000"/>
          <w:spacing w:val="0"/>
          <w:sz w:val="24"/>
          <w:szCs w:val="24"/>
          <w:shd w:val="clear" w:fill="FFFFFF"/>
        </w:rPr>
        <w:br w:type="textWrapping"/>
      </w:r>
      <w:r>
        <w:rPr>
          <w:rFonts w:ascii="楷体" w:hAnsi="楷体" w:eastAsia="楷体" w:cs="楷体"/>
          <w:i w:val="0"/>
          <w:caps w:val="0"/>
          <w:color w:val="800000"/>
          <w:spacing w:val="0"/>
          <w:sz w:val="24"/>
          <w:szCs w:val="24"/>
          <w:shd w:val="clear" w:fill="FFFFFF"/>
        </w:rPr>
        <w:t>第</w:t>
      </w:r>
      <w:r>
        <w:rPr>
          <w:rFonts w:hint="eastAsia" w:ascii="楷体" w:hAnsi="楷体" w:eastAsia="楷体" w:cs="楷体"/>
          <w:i w:val="0"/>
          <w:caps w:val="0"/>
          <w:color w:val="800000"/>
          <w:spacing w:val="0"/>
          <w:sz w:val="24"/>
          <w:szCs w:val="24"/>
          <w:shd w:val="clear" w:fill="FFFFFF"/>
          <w:lang w:val="en-US" w:eastAsia="zh-CN"/>
        </w:rPr>
        <w:t>二</w:t>
      </w:r>
      <w:r>
        <w:rPr>
          <w:rFonts w:ascii="楷体" w:hAnsi="楷体" w:eastAsia="楷体" w:cs="楷体"/>
          <w:i w:val="0"/>
          <w:caps w:val="0"/>
          <w:color w:val="800000"/>
          <w:spacing w:val="0"/>
          <w:sz w:val="24"/>
          <w:szCs w:val="24"/>
          <w:shd w:val="clear" w:fill="FFFFFF"/>
        </w:rPr>
        <w:t>十</w:t>
      </w:r>
      <w:r>
        <w:rPr>
          <w:rFonts w:hint="eastAsia" w:ascii="楷体" w:hAnsi="楷体" w:eastAsia="楷体" w:cs="楷体"/>
          <w:i w:val="0"/>
          <w:caps w:val="0"/>
          <w:color w:val="800000"/>
          <w:spacing w:val="0"/>
          <w:sz w:val="24"/>
          <w:szCs w:val="24"/>
          <w:shd w:val="clear" w:fill="FFFFFF"/>
          <w:lang w:val="en-US" w:eastAsia="zh-CN"/>
        </w:rPr>
        <w:t>一</w:t>
      </w:r>
      <w:r>
        <w:rPr>
          <w:rFonts w:ascii="楷体" w:hAnsi="楷体" w:eastAsia="楷体" w:cs="楷体"/>
          <w:i w:val="0"/>
          <w:caps w:val="0"/>
          <w:color w:val="800000"/>
          <w:spacing w:val="0"/>
          <w:sz w:val="24"/>
          <w:szCs w:val="24"/>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640" w:firstLineChars="200"/>
        <w:jc w:val="left"/>
        <w:rPr>
          <w:rFonts w:hint="default" w:ascii="仿宋_GB2312" w:hAnsi="宋体" w:eastAsia="仿宋_GB2312" w:cs="仿宋_GB2312"/>
          <w:i w:val="0"/>
          <w:caps w:val="0"/>
          <w:color w:val="464445"/>
          <w:spacing w:val="0"/>
          <w:sz w:val="32"/>
          <w:szCs w:val="32"/>
          <w:shd w:val="clear" w:fill="FFFFFF"/>
        </w:rPr>
      </w:pPr>
      <w:r>
        <w:rPr>
          <w:rFonts w:ascii="仿宋_GB2312" w:hAnsi="宋体" w:eastAsia="仿宋_GB2312" w:cs="仿宋_GB2312"/>
          <w:i w:val="0"/>
          <w:caps w:val="0"/>
          <w:color w:val="464445"/>
          <w:spacing w:val="0"/>
          <w:sz w:val="32"/>
          <w:szCs w:val="32"/>
          <w:shd w:val="clear" w:fill="FFFFFF"/>
        </w:rPr>
        <w:t>《中华人民共和国招标投标法》已由中华人民共和国第九届全国人民代表大会常务委员会第十一次会议于</w:t>
      </w:r>
      <w:r>
        <w:rPr>
          <w:rFonts w:hint="default" w:ascii="仿宋_GB2312" w:hAnsi="宋体" w:eastAsia="仿宋_GB2312" w:cs="仿宋_GB2312"/>
          <w:i w:val="0"/>
          <w:caps w:val="0"/>
          <w:color w:val="464445"/>
          <w:spacing w:val="0"/>
          <w:sz w:val="32"/>
          <w:szCs w:val="32"/>
          <w:shd w:val="clear" w:fill="FFFFFF"/>
          <w:lang w:val="en-US"/>
        </w:rPr>
        <w:t>1999</w:t>
      </w:r>
      <w:r>
        <w:rPr>
          <w:rFonts w:hint="default" w:ascii="仿宋_GB2312" w:hAnsi="宋体" w:eastAsia="仿宋_GB2312" w:cs="仿宋_GB2312"/>
          <w:i w:val="0"/>
          <w:caps w:val="0"/>
          <w:color w:val="464445"/>
          <w:spacing w:val="0"/>
          <w:sz w:val="32"/>
          <w:szCs w:val="32"/>
          <w:shd w:val="clear" w:fill="FFFFFF"/>
        </w:rPr>
        <w:t>年</w:t>
      </w:r>
      <w:r>
        <w:rPr>
          <w:rFonts w:hint="default" w:ascii="仿宋_GB2312" w:hAnsi="宋体" w:eastAsia="仿宋_GB2312" w:cs="仿宋_GB2312"/>
          <w:i w:val="0"/>
          <w:caps w:val="0"/>
          <w:color w:val="464445"/>
          <w:spacing w:val="0"/>
          <w:sz w:val="32"/>
          <w:szCs w:val="32"/>
          <w:shd w:val="clear" w:fill="FFFFFF"/>
          <w:lang w:val="en-US"/>
        </w:rPr>
        <w:t>8</w:t>
      </w:r>
      <w:r>
        <w:rPr>
          <w:rFonts w:hint="default" w:ascii="仿宋_GB2312" w:hAnsi="宋体" w:eastAsia="仿宋_GB2312" w:cs="仿宋_GB2312"/>
          <w:i w:val="0"/>
          <w:caps w:val="0"/>
          <w:color w:val="464445"/>
          <w:spacing w:val="0"/>
          <w:sz w:val="32"/>
          <w:szCs w:val="32"/>
          <w:shd w:val="clear" w:fill="FFFFFF"/>
        </w:rPr>
        <w:t>月</w:t>
      </w:r>
      <w:r>
        <w:rPr>
          <w:rFonts w:hint="default" w:ascii="仿宋_GB2312" w:hAnsi="宋体" w:eastAsia="仿宋_GB2312" w:cs="仿宋_GB2312"/>
          <w:i w:val="0"/>
          <w:caps w:val="0"/>
          <w:color w:val="464445"/>
          <w:spacing w:val="0"/>
          <w:sz w:val="32"/>
          <w:szCs w:val="32"/>
          <w:shd w:val="clear" w:fill="FFFFFF"/>
          <w:lang w:val="en-US"/>
        </w:rPr>
        <w:t>30</w:t>
      </w:r>
      <w:r>
        <w:rPr>
          <w:rFonts w:hint="default" w:ascii="仿宋_GB2312" w:hAnsi="宋体" w:eastAsia="仿宋_GB2312" w:cs="仿宋_GB2312"/>
          <w:i w:val="0"/>
          <w:caps w:val="0"/>
          <w:color w:val="464445"/>
          <w:spacing w:val="0"/>
          <w:sz w:val="32"/>
          <w:szCs w:val="32"/>
          <w:shd w:val="clear" w:fill="FFFFFF"/>
        </w:rPr>
        <w:t>日通过，现予公布，自</w:t>
      </w:r>
      <w:r>
        <w:rPr>
          <w:rFonts w:hint="default" w:ascii="仿宋_GB2312" w:hAnsi="宋体" w:eastAsia="仿宋_GB2312" w:cs="仿宋_GB2312"/>
          <w:i w:val="0"/>
          <w:caps w:val="0"/>
          <w:color w:val="464445"/>
          <w:spacing w:val="0"/>
          <w:sz w:val="32"/>
          <w:szCs w:val="32"/>
          <w:shd w:val="clear" w:fill="FFFFFF"/>
          <w:lang w:val="en-US"/>
        </w:rPr>
        <w:t>2000</w:t>
      </w:r>
      <w:r>
        <w:rPr>
          <w:rFonts w:hint="default" w:ascii="仿宋_GB2312" w:hAnsi="宋体" w:eastAsia="仿宋_GB2312" w:cs="仿宋_GB2312"/>
          <w:i w:val="0"/>
          <w:caps w:val="0"/>
          <w:color w:val="464445"/>
          <w:spacing w:val="0"/>
          <w:sz w:val="32"/>
          <w:szCs w:val="32"/>
          <w:shd w:val="clear" w:fill="FFFFFF"/>
        </w:rPr>
        <w:t>年</w:t>
      </w:r>
      <w:r>
        <w:rPr>
          <w:rFonts w:hint="default" w:ascii="仿宋_GB2312" w:hAnsi="宋体" w:eastAsia="仿宋_GB2312" w:cs="仿宋_GB2312"/>
          <w:i w:val="0"/>
          <w:caps w:val="0"/>
          <w:color w:val="464445"/>
          <w:spacing w:val="0"/>
          <w:sz w:val="32"/>
          <w:szCs w:val="32"/>
          <w:shd w:val="clear" w:fill="FFFFFF"/>
          <w:lang w:val="en-US"/>
        </w:rPr>
        <w:t>1</w:t>
      </w:r>
      <w:r>
        <w:rPr>
          <w:rFonts w:hint="default" w:ascii="仿宋_GB2312" w:hAnsi="宋体" w:eastAsia="仿宋_GB2312" w:cs="仿宋_GB2312"/>
          <w:i w:val="0"/>
          <w:caps w:val="0"/>
          <w:color w:val="464445"/>
          <w:spacing w:val="0"/>
          <w:sz w:val="32"/>
          <w:szCs w:val="32"/>
          <w:shd w:val="clear" w:fill="FFFFFF"/>
        </w:rPr>
        <w:t>月</w:t>
      </w:r>
      <w:r>
        <w:rPr>
          <w:rFonts w:hint="default" w:ascii="仿宋_GB2312" w:hAnsi="宋体" w:eastAsia="仿宋_GB2312" w:cs="仿宋_GB2312"/>
          <w:i w:val="0"/>
          <w:caps w:val="0"/>
          <w:color w:val="464445"/>
          <w:spacing w:val="0"/>
          <w:sz w:val="32"/>
          <w:szCs w:val="32"/>
          <w:shd w:val="clear" w:fill="FFFFFF"/>
          <w:lang w:val="en-US"/>
        </w:rPr>
        <w:t>1</w:t>
      </w:r>
      <w:r>
        <w:rPr>
          <w:rFonts w:hint="default" w:ascii="仿宋_GB2312" w:hAnsi="宋体" w:eastAsia="仿宋_GB2312" w:cs="仿宋_GB2312"/>
          <w:i w:val="0"/>
          <w:caps w:val="0"/>
          <w:color w:val="464445"/>
          <w:spacing w:val="0"/>
          <w:sz w:val="32"/>
          <w:szCs w:val="32"/>
          <w:shd w:val="clear" w:fill="FFFFFF"/>
        </w:rPr>
        <w:t>日起施行。 </w:t>
      </w:r>
      <w:r>
        <w:rPr>
          <w:rFonts w:hint="default" w:ascii="仿宋_GB2312" w:hAnsi="宋体" w:eastAsia="仿宋_GB2312" w:cs="仿宋_GB2312"/>
          <w:i w:val="0"/>
          <w:caps w:val="0"/>
          <w:color w:val="070707"/>
          <w:spacing w:val="0"/>
          <w:sz w:val="32"/>
          <w:szCs w:val="32"/>
          <w:lang w:val="en-US"/>
        </w:rPr>
        <w:br w:type="textWrapping"/>
      </w:r>
      <w:r>
        <w:rPr>
          <w:rFonts w:hint="default" w:ascii="仿宋_GB2312" w:hAnsi="宋体" w:eastAsia="仿宋_GB2312" w:cs="仿宋_GB2312"/>
          <w:i w:val="0"/>
          <w:caps w:val="0"/>
          <w:color w:val="070707"/>
          <w:spacing w:val="0"/>
          <w:sz w:val="32"/>
          <w:szCs w:val="32"/>
          <w:lang w:val="en-US"/>
        </w:rPr>
        <w:br w:type="textWrapping"/>
      </w:r>
      <w:r>
        <w:rPr>
          <w:rFonts w:hint="default" w:ascii="仿宋_GB2312" w:hAnsi="宋体" w:eastAsia="仿宋_GB2312" w:cs="仿宋_GB2312"/>
          <w:i w:val="0"/>
          <w:caps w:val="0"/>
          <w:color w:val="464445"/>
          <w:spacing w:val="0"/>
          <w:sz w:val="32"/>
          <w:szCs w:val="32"/>
          <w:shd w:val="clear" w:fill="FFFFFF"/>
        </w:rPr>
        <w:t>　　　　　　　　　　　　中华人民共和国主席 江泽民 </w:t>
      </w:r>
      <w:r>
        <w:rPr>
          <w:rFonts w:hint="default" w:ascii="仿宋_GB2312" w:hAnsi="宋体" w:eastAsia="仿宋_GB2312" w:cs="仿宋_GB2312"/>
          <w:i w:val="0"/>
          <w:caps w:val="0"/>
          <w:color w:val="070707"/>
          <w:spacing w:val="0"/>
          <w:sz w:val="32"/>
          <w:szCs w:val="32"/>
          <w:lang w:val="en-US"/>
        </w:rPr>
        <w:br w:type="textWrapping"/>
      </w:r>
      <w:r>
        <w:rPr>
          <w:rFonts w:hint="default" w:ascii="仿宋_GB2312" w:hAnsi="宋体" w:eastAsia="仿宋_GB2312" w:cs="仿宋_GB2312"/>
          <w:i w:val="0"/>
          <w:caps w:val="0"/>
          <w:color w:val="464445"/>
          <w:spacing w:val="0"/>
          <w:sz w:val="32"/>
          <w:szCs w:val="32"/>
          <w:shd w:val="clear" w:fill="FFFFFF"/>
        </w:rPr>
        <w:t>　</w:t>
      </w:r>
      <w:r>
        <w:rPr>
          <w:rFonts w:hint="default" w:ascii="仿宋_GB2312" w:hAnsi="宋体" w:eastAsia="仿宋_GB2312" w:cs="仿宋_GB2312"/>
          <w:i w:val="0"/>
          <w:caps w:val="0"/>
          <w:color w:val="464445"/>
          <w:spacing w:val="0"/>
          <w:sz w:val="32"/>
          <w:szCs w:val="32"/>
          <w:shd w:val="clear" w:fill="FFFFFF"/>
          <w:lang w:val="en-US"/>
        </w:rPr>
        <w:t>                             </w:t>
      </w:r>
      <w:r>
        <w:rPr>
          <w:rFonts w:hint="eastAsia" w:ascii="仿宋_GB2312" w:hAnsi="宋体" w:eastAsia="仿宋_GB2312" w:cs="仿宋_GB2312"/>
          <w:i w:val="0"/>
          <w:caps w:val="0"/>
          <w:color w:val="464445"/>
          <w:spacing w:val="0"/>
          <w:sz w:val="32"/>
          <w:szCs w:val="32"/>
          <w:shd w:val="clear" w:fill="FFFFFF"/>
          <w:lang w:val="en-US" w:eastAsia="zh-CN"/>
        </w:rPr>
        <w:t xml:space="preserve">                     </w:t>
      </w:r>
      <w:r>
        <w:rPr>
          <w:rFonts w:hint="default" w:ascii="仿宋_GB2312" w:hAnsi="宋体" w:eastAsia="仿宋_GB2312" w:cs="仿宋_GB2312"/>
          <w:i w:val="0"/>
          <w:caps w:val="0"/>
          <w:color w:val="464445"/>
          <w:spacing w:val="0"/>
          <w:sz w:val="32"/>
          <w:szCs w:val="32"/>
          <w:shd w:val="clear" w:fill="FFFFFF"/>
          <w:lang w:val="en-US"/>
        </w:rPr>
        <w:t> 1999</w:t>
      </w:r>
      <w:r>
        <w:rPr>
          <w:rFonts w:hint="default" w:ascii="仿宋_GB2312" w:hAnsi="宋体" w:eastAsia="仿宋_GB2312" w:cs="仿宋_GB2312"/>
          <w:i w:val="0"/>
          <w:caps w:val="0"/>
          <w:color w:val="464445"/>
          <w:spacing w:val="0"/>
          <w:sz w:val="32"/>
          <w:szCs w:val="32"/>
          <w:shd w:val="clear" w:fill="FFFFFF"/>
        </w:rPr>
        <w:t>年</w:t>
      </w:r>
      <w:r>
        <w:rPr>
          <w:rFonts w:hint="default" w:ascii="仿宋_GB2312" w:hAnsi="宋体" w:eastAsia="仿宋_GB2312" w:cs="仿宋_GB2312"/>
          <w:i w:val="0"/>
          <w:caps w:val="0"/>
          <w:color w:val="464445"/>
          <w:spacing w:val="0"/>
          <w:sz w:val="32"/>
          <w:szCs w:val="32"/>
          <w:shd w:val="clear" w:fill="FFFFFF"/>
          <w:lang w:val="en-US"/>
        </w:rPr>
        <w:t>8</w:t>
      </w:r>
      <w:r>
        <w:rPr>
          <w:rFonts w:hint="default" w:ascii="仿宋_GB2312" w:hAnsi="宋体" w:eastAsia="仿宋_GB2312" w:cs="仿宋_GB2312"/>
          <w:i w:val="0"/>
          <w:caps w:val="0"/>
          <w:color w:val="464445"/>
          <w:spacing w:val="0"/>
          <w:sz w:val="32"/>
          <w:szCs w:val="32"/>
          <w:shd w:val="clear" w:fill="FFFFFF"/>
        </w:rPr>
        <w:t>月</w:t>
      </w:r>
      <w:r>
        <w:rPr>
          <w:rFonts w:hint="default" w:ascii="仿宋_GB2312" w:hAnsi="宋体" w:eastAsia="仿宋_GB2312" w:cs="仿宋_GB2312"/>
          <w:i w:val="0"/>
          <w:caps w:val="0"/>
          <w:color w:val="464445"/>
          <w:spacing w:val="0"/>
          <w:sz w:val="32"/>
          <w:szCs w:val="32"/>
          <w:shd w:val="clear" w:fill="FFFFFF"/>
          <w:lang w:val="en-US"/>
        </w:rPr>
        <w:t>30</w:t>
      </w:r>
      <w:r>
        <w:rPr>
          <w:rFonts w:hint="default" w:ascii="仿宋_GB2312" w:hAnsi="宋体" w:eastAsia="仿宋_GB2312" w:cs="仿宋_GB2312"/>
          <w:i w:val="0"/>
          <w:caps w:val="0"/>
          <w:color w:val="464445"/>
          <w:spacing w:val="0"/>
          <w:sz w:val="32"/>
          <w:szCs w:val="32"/>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33"/>
          <w:szCs w:val="3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676767"/>
          <w:spacing w:val="0"/>
        </w:rPr>
      </w:pPr>
      <w:r>
        <w:rPr>
          <w:rFonts w:hint="eastAsia" w:ascii="微软雅黑" w:hAnsi="微软雅黑" w:eastAsia="微软雅黑" w:cs="微软雅黑"/>
          <w:i w:val="0"/>
          <w:caps w:val="0"/>
          <w:color w:val="333333"/>
          <w:spacing w:val="0"/>
          <w:sz w:val="33"/>
          <w:szCs w:val="33"/>
          <w:shd w:val="clear" w:fill="FFFFFF"/>
        </w:rPr>
        <w:t>中华人民共和国招标投标法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（根据</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"http://www.xzzb.info/nd.jsp?id=98"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《全国人民代表大会常务委员会关于修改</w:t>
      </w:r>
      <w:r>
        <w:rPr>
          <w:rFonts w:hint="eastAsia" w:ascii="微软雅黑" w:hAnsi="微软雅黑" w:eastAsia="微软雅黑" w:cs="微软雅黑"/>
          <w:i w:val="0"/>
          <w:caps w:val="0"/>
          <w:color w:val="676767"/>
          <w:spacing w:val="0"/>
          <w:sz w:val="24"/>
          <w:szCs w:val="24"/>
          <w:shd w:val="clear" w:fill="FFFFFF"/>
          <w:lang w:val="en-US" w:eastAsia="zh-CN"/>
        </w:rPr>
        <w:t>&lt;</w:t>
      </w:r>
      <w:r>
        <w:rPr>
          <w:rFonts w:hint="eastAsia" w:ascii="微软雅黑" w:hAnsi="微软雅黑" w:eastAsia="微软雅黑" w:cs="微软雅黑"/>
          <w:i w:val="0"/>
          <w:caps w:val="0"/>
          <w:color w:val="676767"/>
          <w:spacing w:val="0"/>
          <w:sz w:val="24"/>
          <w:szCs w:val="24"/>
          <w:shd w:val="clear" w:fill="FFFFFF"/>
        </w:rPr>
        <w:t>中华人民共和国招标投标法</w:t>
      </w:r>
      <w:r>
        <w:rPr>
          <w:rFonts w:hint="eastAsia" w:ascii="微软雅黑" w:hAnsi="微软雅黑" w:eastAsia="微软雅黑" w:cs="微软雅黑"/>
          <w:i w:val="0"/>
          <w:caps w:val="0"/>
          <w:color w:val="676767"/>
          <w:spacing w:val="0"/>
          <w:sz w:val="24"/>
          <w:szCs w:val="24"/>
          <w:shd w:val="clear" w:fill="FFFFFF"/>
          <w:lang w:val="en-US" w:eastAsia="zh-CN"/>
        </w:rPr>
        <w:t>&gt;</w:t>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lang w:val="en-US" w:eastAsia="zh-CN"/>
        </w:rPr>
        <w:t>&lt;</w:t>
      </w:r>
      <w:r>
        <w:rPr>
          <w:rFonts w:hint="eastAsia" w:ascii="微软雅黑" w:hAnsi="微软雅黑" w:eastAsia="微软雅黑" w:cs="微软雅黑"/>
          <w:i w:val="0"/>
          <w:caps w:val="0"/>
          <w:color w:val="676767"/>
          <w:spacing w:val="0"/>
          <w:sz w:val="24"/>
          <w:szCs w:val="24"/>
          <w:shd w:val="clear" w:fill="FFFFFF"/>
        </w:rPr>
        <w:t>中华人民共和国计量法</w:t>
      </w:r>
      <w:r>
        <w:rPr>
          <w:rFonts w:hint="eastAsia" w:ascii="微软雅黑" w:hAnsi="微软雅黑" w:eastAsia="微软雅黑" w:cs="微软雅黑"/>
          <w:i w:val="0"/>
          <w:caps w:val="0"/>
          <w:color w:val="676767"/>
          <w:spacing w:val="0"/>
          <w:sz w:val="24"/>
          <w:szCs w:val="24"/>
          <w:shd w:val="clear" w:fill="FFFFFF"/>
          <w:lang w:val="en-US" w:eastAsia="zh-CN"/>
        </w:rPr>
        <w:t>&gt;</w:t>
      </w:r>
      <w:r>
        <w:rPr>
          <w:rFonts w:hint="eastAsia" w:ascii="微软雅黑" w:hAnsi="微软雅黑" w:eastAsia="微软雅黑" w:cs="微软雅黑"/>
          <w:i w:val="0"/>
          <w:caps w:val="0"/>
          <w:color w:val="676767"/>
          <w:spacing w:val="0"/>
          <w:sz w:val="24"/>
          <w:szCs w:val="24"/>
          <w:shd w:val="clear" w:fill="FFFFFF"/>
        </w:rPr>
        <w:t>的决定》</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修正</w:t>
      </w:r>
      <w:bookmarkStart w:id="0" w:name="_GoBack"/>
      <w:bookmarkEnd w:id="0"/>
      <w:r>
        <w:rPr>
          <w:rFonts w:hint="eastAsia" w:ascii="微软雅黑" w:hAnsi="微软雅黑" w:eastAsia="微软雅黑" w:cs="微软雅黑"/>
          <w:i w:val="0"/>
          <w:caps w:val="0"/>
          <w:color w:val="676767"/>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default" w:ascii="仿宋_GB2312" w:hAnsi="宋体" w:eastAsia="仿宋_GB2312" w:cs="仿宋_GB2312"/>
          <w:i w:val="0"/>
          <w:caps w:val="0"/>
          <w:color w:val="464445"/>
          <w:spacing w:val="0"/>
          <w:sz w:val="32"/>
          <w:szCs w:val="32"/>
          <w:shd w:val="clear" w:fill="FFFFFF"/>
        </w:rPr>
        <w:t>　　　　　　　　　　　　　　　</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目    录</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第一章    总    则</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第二章    招    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第三章    投    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第四章    开标、评标和中标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第五章    法律责任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为了规范招标投标活动，保护国家利益、社会公共利益和招标投标活动当事人的合法权益，提高经济效益，保证项目质量，制定本法。</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在中华人民共和国境内进行招标投标活动，适用本法。</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在中华人民共和国境内进行下列工程建设项目包括项目的勘察、设计、施工、监理以及与工程建设有关的重要设备、材料等的采购，必须进行招标：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（一）大型基础设施、公用事业等关系社会公共利益、公众安全的项目；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（二）全部或者部分使用国有资金投资或者国家融资的项目；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（三）使用国际组织或者外国政府贷款、援助资金的项目。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前款所列项目的具体范围和规模标准，由国务院发展计划部门会同国务院有关部门制订，报国务院批准。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法律或者国务院对必须进行招标的其他项目的范围有规定的，依照其规定。</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任何单位和个人不得将依法必须进行招标的项目化整为零或者以其他任何方式规避招标。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招标投标活动应当遵循公开、公平、公正和诚实信用的原则。</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依法必须进行招标的项目，其招标投标活动不受地区或者部门的限制。任何单位和个人不得违法限制或者排斥本地区、本系统以外的法人或者其他组织参加投标，不得以任何方式非法干涉招标投标活动。</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招标投标活动及其当事人应当接受依法实施的监督。</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有关行政监督部门依法对招标投标活动实施监督，依法查处招标投标活动中的违法行为。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对招标投标活动的行政监督及有关部门的具体职权划分，由国务院规定。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第二章    招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招标人是依照本法规定提出招标项目、进行招标的法人或者其他组织。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招标项目按照国家有关规定需要履行项目审批手续的，应当先履行审批手续，取得批准。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招标人应当有进行招标项目的相应资金或者资金来源已经落实，并应当在招标文件中如实载明。</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招标分为公开招标和邀请招标。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公开招标，是指招标人以招标公告的方式邀请不特定的法人或者其他组织投标。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邀请招标，是指招标人以投标邀请书的方式邀请特定的法人或者其他组织投标。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  国务院发展计划部门确定的国家重点项目和省、自治区、直辖市人民政府确定的地方重点项目不适宜公开招标的，经国务院发展计划部门或者省、自治区、直辖市人民政府批准，可以进行邀请招标。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招标人有权自行选择招标代理机构，委托其办理招标事宜。任何单位和个人不得以任何方式为招标人指定招标代理机构。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招标人具有编制招标文件和组织评标能力的，可以自行办理招标事宜。任何单位和个人不得强制其委托招标代理机构办理招标事宜。</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依法必须进行招标的项目，招标人自行办理招标事宜的，应当向有关行政监督部门备案。</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招标代理机构是依法设立、从事招标代理业务并提供相关服务的社会中介组织。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招标代理机构应当具备下列条件：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（一）有从事招标代理业务的营业场所和相应资金；</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（二）有能够编制招标文件和组织评标的相应专业力量；</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招标代理机构与行政机关和其他国家机关不得存在隶属关系或者其他利益关系。</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招标代理机构应当在招标人委托的范围内办理招标事宜，并遵守本法关于招标人的规定。</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招标人采用公开招标方式的，应当发布招标公告。依法必须进行招标的项目的招标公告，应当通过</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国家指定的报刊、信息网络或者其他媒介发布</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招标公告应当载明招标人的名称和地址、招标项目的性质、数量、实施地点和时间以及获取招标文件的办法等事项。</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招标人采用邀请招标方式的，应当向三个以上具备承担招标项目的能力、资信良好的特定的法人或者其他组织发出投标邀请书。</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投标邀请书应当载明本法第十六条第二款规定的事项。</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招标人可以根据招标项目本身的要求，在招标公告或者投标邀请书中，要求潜在投标人提供有关资质证明文件和业绩情况，并对潜在投标人进行资格审查；国家对投标人的资格条件有规定的，依照其规定。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招标人不得以不合理的条件限制或者排斥潜在投标人，不得对潜在投标人实行歧视待遇。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招标人应当根据招标项目的特点和需要编制招标文件。招标文件应当包括招标项目的技术要求、对投标人资格审查的标准、投标报价要求和评标标准等所有实质性要求和条件以及拟签订合同的主要条款。</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国家对招标项目的技术、标准有规定的，招标人应当按照其规定在招标文件中提出相应要求。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招标项目需要划分标段、确定工期的，招标人应当合理划分标段、确定工期，并在招标文件中载明。</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招标文件不得要求或者标明特定的生产供应者以及含有倾向或者排斥潜在投标人的其他内容。</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招标人根据招标项目的具体情况，可以组织潜在投标人踏勘项目现场。</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招标人不得向他人透露已获取招标文件的潜在投标人的名称、数量以及可能影响公平竞争的有关招标投标的其他情况。</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招标人设有标底的，标底必须保密。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  招标人对已发出的招标文件进行必要的澄清或者修改的，应当在招标文件要求提交投标文件截止时间至少十五日前，以书面形式通知所有招标文件收受人。该澄清或者修改的内容为招标文件的组成部分。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招标人应当确定投标人编制投标文件所需要的合理时间；但是，依法必须进行招标的项目，自招标文件开始发出之日起至投标人提交投标文件截止之日止，最短不得少于二十日。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第三章    投    标</w:t>
      </w:r>
      <w:r>
        <w:rPr>
          <w:rFonts w:hint="eastAsia" w:ascii="微软雅黑" w:hAnsi="微软雅黑" w:eastAsia="微软雅黑" w:cs="微软雅黑"/>
          <w:i w:val="0"/>
          <w:caps w:val="0"/>
          <w:color w:val="676767"/>
          <w:spacing w:val="0"/>
          <w:sz w:val="21"/>
          <w:szCs w:val="21"/>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投标人是响应招标、参加投标竞争的法人或者其他组织。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依法招标的科研项目允许个人参加投标的，投标的个人适用本法有关投标人的规定。</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投标人应当具备承担招标项目的能力；国家有关规定对投标人资格条件或者招标文件对投标人资格条件有规定的，投标人应当具备规定的资格条件。</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投标人应当按照招标文件的要求编制投标文件。投标文件应当对招标文件提出的实质性要求和条件作出响应。</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招标项目属于建设施工的，投标文件的内容应当包括拟派出的项目负责人与主要技术人员的简历、业绩和拟用于完成招标项目的机械设备等。</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投标人应当在招标文件要求提交投标文件的截止时间前，将投标文件送达投标地点。招标人收到投标文件后，应当签收保存，不得开启。投标人少于三个的，招标人应当依照本法重新招标。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在招标文件要求提交投标文件的截止时间后送达的投标文件，招标人应当拒收。</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投标人在招标文件要求提交投标文件的截止时间前，可以补充、修改或者撤回已提交的投标文件，并书面通知招标人。补充、修改的内容为投标文件的组成部分。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第三十条</w:t>
      </w:r>
      <w:r>
        <w:rPr>
          <w:rFonts w:hint="eastAsia" w:ascii="微软雅黑" w:hAnsi="微软雅黑" w:eastAsia="微软雅黑" w:cs="微软雅黑"/>
          <w:i w:val="0"/>
          <w:caps w:val="0"/>
          <w:color w:val="676767"/>
          <w:spacing w:val="0"/>
          <w:sz w:val="24"/>
          <w:szCs w:val="24"/>
          <w:shd w:val="clear" w:fill="FFFFFF"/>
        </w:rPr>
        <w:t>    投标人根据招标文件载明的项目实际情况，拟在中标后将中标项目的部分非主体、非关键性工作进行分包的，应当在投标文件中载明。</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第三十一条</w:t>
      </w:r>
      <w:r>
        <w:rPr>
          <w:rFonts w:hint="eastAsia" w:ascii="微软雅黑" w:hAnsi="微软雅黑" w:eastAsia="微软雅黑" w:cs="微软雅黑"/>
          <w:i w:val="0"/>
          <w:caps w:val="0"/>
          <w:color w:val="676767"/>
          <w:spacing w:val="0"/>
          <w:sz w:val="24"/>
          <w:szCs w:val="24"/>
          <w:shd w:val="clear" w:fill="FFFFFF"/>
        </w:rPr>
        <w:t>    两个以上法人或者其他组织可以组成一个联合体，以一个投标人的身份共同投标。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招标人不得强制投标人组成联合体共同投标，不得限制投标人之间的竞争。</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投标人不得相互串通投标报价，不得排挤其他投标人的公平竞争，损害招标人或者其他投标人的合法权益。</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投标人不得与招标人串通投标，损害国家利益、社会公共利益或者他人的合法权益。</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禁止投标人以向招标人或者评标委员会成员行贿的手段谋取中标。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投标人不得以低于成本的报价竞标，也不得以他人名义投标或者以其他方式弄虚作假，骗取中标。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第四章    开标、评标和中标</w:t>
      </w:r>
      <w:r>
        <w:rPr>
          <w:rFonts w:hint="eastAsia" w:ascii="微软雅黑" w:hAnsi="微软雅黑" w:eastAsia="微软雅黑" w:cs="微软雅黑"/>
          <w:i w:val="0"/>
          <w:caps w:val="0"/>
          <w:color w:val="676767"/>
          <w:spacing w:val="0"/>
          <w:sz w:val="21"/>
          <w:szCs w:val="21"/>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开标应当在招标文件确定的提交投标文件截止时间的同一时间公开进行；开标地点应当为招标文件中预先确定的地点。</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第三十五条</w:t>
      </w:r>
      <w:r>
        <w:rPr>
          <w:rFonts w:hint="eastAsia" w:ascii="微软雅黑" w:hAnsi="微软雅黑" w:eastAsia="微软雅黑" w:cs="微软雅黑"/>
          <w:i w:val="0"/>
          <w:caps w:val="0"/>
          <w:color w:val="676767"/>
          <w:spacing w:val="0"/>
          <w:sz w:val="24"/>
          <w:szCs w:val="24"/>
          <w:shd w:val="clear" w:fill="FFFFFF"/>
        </w:rPr>
        <w:t>    开标由招标人主持，邀请所有投标人参加。</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开标时，由投标人或者其推选的代表检查投标文件的密封情况，也可以由招标人委托的公证机构检查并公证；经确认无误后，由工作人员当众拆封，宣读投标人名称、投标价格和投标文件的其他主要内容。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招标人在招标文件要求提交投标文件的截止时间前收到的所有投标文件，开标时都应当当众予以拆封、宣读。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开标过程应当记录，并存档备查。</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评标由招标人依法组建的评标委员会负责。</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依法必须进行招标的项目，其评标委员会由招标人的代表和有关技术、经济等方面的专家组成，成员人数为五人以上单数，其中技术、经济等方面的专家不得少于成员总数的三分之二。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与投标人有利害关系的人不得进入相关项目的评标委员会；已经进入的应当更换。</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评标委员会成员的名单在中标结果确定前应当保密。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招标人应当采取必要的措施，保证评标在严格保密的情况下进行。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任何单位和个人不得非法干预、影响评标的过程和结果。</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第三十九条</w:t>
      </w:r>
      <w:r>
        <w:rPr>
          <w:rFonts w:hint="eastAsia" w:ascii="微软雅黑" w:hAnsi="微软雅黑" w:eastAsia="微软雅黑" w:cs="微软雅黑"/>
          <w:i w:val="0"/>
          <w:caps w:val="0"/>
          <w:color w:val="676767"/>
          <w:spacing w:val="0"/>
          <w:sz w:val="24"/>
          <w:szCs w:val="24"/>
          <w:shd w:val="clear" w:fill="FFFFFF"/>
        </w:rPr>
        <w:t>    评标委员会可以要求投标人对投标文件中含义不明确的内容作必要的澄清或者说明，但是澄清或者说明不得超出投标文件的范围或者改变投标文件的实质性内容。</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第四十条</w:t>
      </w:r>
      <w:r>
        <w:rPr>
          <w:rFonts w:hint="eastAsia" w:ascii="微软雅黑" w:hAnsi="微软雅黑" w:eastAsia="微软雅黑" w:cs="微软雅黑"/>
          <w:i w:val="0"/>
          <w:caps w:val="0"/>
          <w:color w:val="676767"/>
          <w:spacing w:val="0"/>
          <w:sz w:val="24"/>
          <w:szCs w:val="24"/>
          <w:shd w:val="clear" w:fill="FFFFFF"/>
        </w:rPr>
        <w:t>    评标委员会应当按照招标文件确定的评标标准和方法，对投标文件进行评审和比较；设有标底的，应当参考标底。评标委员会完成评标后，应当向招标人提出书面评标报告，并推荐合格的中标候选人。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招标人根据评标委员会提出的书面评标报告和推荐的中标候选人确定中标人。招标人也可以授权评标委员会直接确定中标人。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国务院对特定招标项目的评标有特别规定的，从其规定。</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4"/>
          <w:szCs w:val="24"/>
          <w:shd w:val="clear" w:fill="FFFFFF"/>
        </w:rPr>
        <w:t>    中标人的投标应当符合下列条件之一：</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（一）能够最大限度地满足招标文件中规定的各项综合评价标准；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（二）能够满足招标文件的实质性要求，并且经评审的投标价格最低；但是投标价格低于成本的除外。</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评标委员会经评审，认为所有投标都不符合招标文件要求的，可以否决所有投标。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依法必须进行招标的项目的所有投标被否决的，招标人应当依照本法重新招标。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第四十三条 </w:t>
      </w:r>
      <w:r>
        <w:rPr>
          <w:rFonts w:hint="eastAsia" w:ascii="微软雅黑" w:hAnsi="微软雅黑" w:eastAsia="微软雅黑" w:cs="微软雅黑"/>
          <w:i w:val="0"/>
          <w:caps w:val="0"/>
          <w:color w:val="676767"/>
          <w:spacing w:val="0"/>
          <w:sz w:val="24"/>
          <w:szCs w:val="24"/>
          <w:shd w:val="clear" w:fill="FFFFFF"/>
        </w:rPr>
        <w:t>  在确定中标人前，招标人不得与投标人就投标价格、投标方案等实质性内容进行谈判。</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第四十四条</w:t>
      </w:r>
      <w:r>
        <w:rPr>
          <w:rFonts w:hint="eastAsia" w:ascii="微软雅黑" w:hAnsi="微软雅黑" w:eastAsia="微软雅黑" w:cs="微软雅黑"/>
          <w:i w:val="0"/>
          <w:caps w:val="0"/>
          <w:color w:val="676767"/>
          <w:spacing w:val="0"/>
          <w:sz w:val="24"/>
          <w:szCs w:val="24"/>
          <w:shd w:val="clear" w:fill="FFFFFF"/>
        </w:rPr>
        <w:t>    评标委员会成员应当客观、公正地履行职务，遵守职业道德，对所提出的评审意见承担个人责任。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评标委员会成员不得私下接触投标人，不得收受投标人的财物或者其他好处。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评标委员会成员和参与评标的有关工作人员不得透露对投标文件的评审和比较、中标候选人的推荐情况以及与评标有关的其他情况。</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中标人确定后，招标人应当向中标人发出中标通知书，并同时将中标结果通知所有未中标的投标人。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中标通知书对招标人和中标人具有法律效力。中标通知书发出后，招标人改变中标结果的，或者中标人放弃中标项目的，应当依法承担法律责任。</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招标人和中标人应当自中标通知书发出之日起三十日内，按照招标文件和中标人的投标文件订立书面合同。招标人和中标人不得再行订立背离合同实质性内容的其他协议。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招标文件要求中标人提交履约保证金的，中标人应当提交。</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第四十七条 </w:t>
      </w:r>
      <w:r>
        <w:rPr>
          <w:rFonts w:hint="eastAsia" w:ascii="微软雅黑" w:hAnsi="微软雅黑" w:eastAsia="微软雅黑" w:cs="微软雅黑"/>
          <w:i w:val="0"/>
          <w:caps w:val="0"/>
          <w:color w:val="676767"/>
          <w:spacing w:val="0"/>
          <w:sz w:val="24"/>
          <w:szCs w:val="24"/>
          <w:shd w:val="clear" w:fill="FFFFFF"/>
        </w:rPr>
        <w:t>  依法必须进行招标的项目，招标人应当自确定中标人之日起十五日内，向有关行政监督部门提交招标投标情况的书面报告。</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第四十八条</w:t>
      </w:r>
      <w:r>
        <w:rPr>
          <w:rFonts w:hint="eastAsia" w:ascii="微软雅黑" w:hAnsi="微软雅黑" w:eastAsia="微软雅黑" w:cs="微软雅黑"/>
          <w:i w:val="0"/>
          <w:caps w:val="0"/>
          <w:color w:val="676767"/>
          <w:spacing w:val="0"/>
          <w:sz w:val="24"/>
          <w:szCs w:val="24"/>
          <w:shd w:val="clear" w:fill="FFFFFF"/>
        </w:rPr>
        <w:t>    中标人应当按照合同约定履行义务，完成中标项目。中标人不得向他人转让中标项目，也不得将中标项目肢解后分别向他人转让。</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中标人按照合同约定或者经招标人同意，可以将中标项目的部分非主体、非关键性工作分包给他人完成。接受分包的人应当具备相应的资格条件，并不得再次分包。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中标人应当就分包项目向招标人负责，接受分包的人就分包项目承担连带责任。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1"/>
          <w:szCs w:val="21"/>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第五章    法律责任</w:t>
      </w:r>
      <w:r>
        <w:rPr>
          <w:rFonts w:hint="eastAsia" w:ascii="微软雅黑" w:hAnsi="微软雅黑" w:eastAsia="微软雅黑" w:cs="微软雅黑"/>
          <w:i w:val="0"/>
          <w:caps w:val="0"/>
          <w:color w:val="676767"/>
          <w:spacing w:val="0"/>
          <w:sz w:val="21"/>
          <w:szCs w:val="21"/>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i w:val="0"/>
          <w:caps w:val="0"/>
          <w:color w:val="676767"/>
          <w:spacing w:val="0"/>
          <w:sz w:val="24"/>
          <w:szCs w:val="24"/>
          <w:shd w:val="clear" w:fill="FFFFFF"/>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第五十条</w:t>
      </w:r>
      <w:r>
        <w:rPr>
          <w:rFonts w:hint="eastAsia" w:ascii="微软雅黑" w:hAnsi="微软雅黑" w:eastAsia="微软雅黑" w:cs="微软雅黑"/>
          <w:i w:val="0"/>
          <w:caps w:val="0"/>
          <w:color w:val="676767"/>
          <w:spacing w:val="0"/>
          <w:sz w:val="24"/>
          <w:szCs w:val="24"/>
          <w:shd w:val="clear" w:fill="FFFFFF"/>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前款所列行为影响中标结果的，中标无效。</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第五十一条</w:t>
      </w:r>
      <w:r>
        <w:rPr>
          <w:rFonts w:hint="eastAsia" w:ascii="微软雅黑" w:hAnsi="微软雅黑" w:eastAsia="微软雅黑" w:cs="微软雅黑"/>
          <w:i w:val="0"/>
          <w:caps w:val="0"/>
          <w:color w:val="676767"/>
          <w:spacing w:val="0"/>
          <w:sz w:val="24"/>
          <w:szCs w:val="24"/>
          <w:shd w:val="clear" w:fill="FFFFFF"/>
        </w:rPr>
        <w:t>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第五十二条 </w:t>
      </w:r>
      <w:r>
        <w:rPr>
          <w:rFonts w:hint="eastAsia" w:ascii="微软雅黑" w:hAnsi="微软雅黑" w:eastAsia="微软雅黑" w:cs="微软雅黑"/>
          <w:i w:val="0"/>
          <w:caps w:val="0"/>
          <w:color w:val="676767"/>
          <w:spacing w:val="0"/>
          <w:sz w:val="24"/>
          <w:szCs w:val="24"/>
          <w:shd w:val="clear" w:fill="FFFFFF"/>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前款所列行为影响中标结果的，中标无效。</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第五十三条</w:t>
      </w:r>
      <w:r>
        <w:rPr>
          <w:rFonts w:hint="eastAsia" w:ascii="微软雅黑" w:hAnsi="微软雅黑" w:eastAsia="微软雅黑" w:cs="微软雅黑"/>
          <w:i w:val="0"/>
          <w:caps w:val="0"/>
          <w:color w:val="676767"/>
          <w:spacing w:val="0"/>
          <w:sz w:val="24"/>
          <w:szCs w:val="24"/>
          <w:shd w:val="clear" w:fill="FFFFFF"/>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i w:val="0"/>
          <w:caps w:val="0"/>
          <w:color w:val="676767"/>
          <w:spacing w:val="0"/>
          <w:sz w:val="24"/>
          <w:szCs w:val="24"/>
          <w:shd w:val="clear" w:fill="FFFFFF"/>
        </w:rPr>
        <w:t>    投标人以他人名义投标或者以其他方式弄虚作假，骗取中标的，中标无效，给招标人造成损失的，依法承担赔偿责任；构成犯罪的，依法追究刑事责任。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第五十五条</w:t>
      </w:r>
      <w:r>
        <w:rPr>
          <w:rFonts w:hint="eastAsia" w:ascii="微软雅黑" w:hAnsi="微软雅黑" w:eastAsia="微软雅黑" w:cs="微软雅黑"/>
          <w:i w:val="0"/>
          <w:caps w:val="0"/>
          <w:color w:val="676767"/>
          <w:spacing w:val="0"/>
          <w:sz w:val="24"/>
          <w:szCs w:val="24"/>
          <w:shd w:val="clear" w:fill="FFFFFF"/>
        </w:rPr>
        <w:t>    依法必须进行招标的项目，招标人违反本法规定，与投标人就投标价格、投标方案等实质性内容进行谈判的，给予警告，对单位直接负责的主管人员和其他直接责任人员依法给予处分。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前款所列行为影响中标结果的，中标无效。</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第五十六条</w:t>
      </w:r>
      <w:r>
        <w:rPr>
          <w:rFonts w:hint="eastAsia" w:ascii="微软雅黑" w:hAnsi="微软雅黑" w:eastAsia="微软雅黑" w:cs="微软雅黑"/>
          <w:i w:val="0"/>
          <w:caps w:val="0"/>
          <w:color w:val="676767"/>
          <w:spacing w:val="0"/>
          <w:sz w:val="24"/>
          <w:szCs w:val="24"/>
          <w:shd w:val="clear" w:fill="FFFFFF"/>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第五十七条</w:t>
      </w:r>
      <w:r>
        <w:rPr>
          <w:rFonts w:hint="eastAsia" w:ascii="微软雅黑" w:hAnsi="微软雅黑" w:eastAsia="微软雅黑" w:cs="微软雅黑"/>
          <w:i w:val="0"/>
          <w:caps w:val="0"/>
          <w:color w:val="676767"/>
          <w:spacing w:val="0"/>
          <w:sz w:val="24"/>
          <w:szCs w:val="24"/>
          <w:shd w:val="clear" w:fill="FFFFFF"/>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第五十八条</w:t>
      </w:r>
      <w:r>
        <w:rPr>
          <w:rFonts w:hint="eastAsia" w:ascii="微软雅黑" w:hAnsi="微软雅黑" w:eastAsia="微软雅黑" w:cs="微软雅黑"/>
          <w:i w:val="0"/>
          <w:caps w:val="0"/>
          <w:color w:val="676767"/>
          <w:spacing w:val="0"/>
          <w:sz w:val="24"/>
          <w:szCs w:val="24"/>
          <w:shd w:val="clear" w:fill="FFFFFF"/>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第五十九条</w:t>
      </w:r>
      <w:r>
        <w:rPr>
          <w:rFonts w:hint="eastAsia" w:ascii="微软雅黑" w:hAnsi="微软雅黑" w:eastAsia="微软雅黑" w:cs="微软雅黑"/>
          <w:i w:val="0"/>
          <w:caps w:val="0"/>
          <w:color w:val="676767"/>
          <w:spacing w:val="0"/>
          <w:sz w:val="24"/>
          <w:szCs w:val="24"/>
          <w:shd w:val="clear" w:fill="FFFFFF"/>
        </w:rPr>
        <w:t>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第六十条</w:t>
      </w:r>
      <w:r>
        <w:rPr>
          <w:rFonts w:hint="eastAsia" w:ascii="微软雅黑" w:hAnsi="微软雅黑" w:eastAsia="微软雅黑" w:cs="微软雅黑"/>
          <w:i w:val="0"/>
          <w:caps w:val="0"/>
          <w:color w:val="676767"/>
          <w:spacing w:val="0"/>
          <w:sz w:val="24"/>
          <w:szCs w:val="24"/>
          <w:shd w:val="clear" w:fill="FFFFFF"/>
        </w:rPr>
        <w:t>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中标人不按照与招标人订立的合同履行义务，情节严重的，取消其二年至五年内参加依法必须进行招标的项目的投标资格并予以公告，直至由工商行政管理机关吊销营业执照。</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因不可抗力不能履行合同的，不适用前两款规定。</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第六十一条</w:t>
      </w:r>
      <w:r>
        <w:rPr>
          <w:rFonts w:hint="eastAsia" w:ascii="微软雅黑" w:hAnsi="微软雅黑" w:eastAsia="微软雅黑" w:cs="微软雅黑"/>
          <w:i w:val="0"/>
          <w:caps w:val="0"/>
          <w:color w:val="676767"/>
          <w:spacing w:val="0"/>
          <w:sz w:val="24"/>
          <w:szCs w:val="24"/>
          <w:shd w:val="clear" w:fill="FFFFFF"/>
        </w:rPr>
        <w:t>    本章规定的行政处罚，由国务院规定的有关行政监督部门决定。本法已对实施行政处罚的机关作出规定的除外。</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第六十二条</w:t>
      </w:r>
      <w:r>
        <w:rPr>
          <w:rFonts w:hint="eastAsia" w:ascii="微软雅黑" w:hAnsi="微软雅黑" w:eastAsia="微软雅黑" w:cs="微软雅黑"/>
          <w:i w:val="0"/>
          <w:caps w:val="0"/>
          <w:color w:val="676767"/>
          <w:spacing w:val="0"/>
          <w:sz w:val="24"/>
          <w:szCs w:val="24"/>
          <w:shd w:val="clear" w:fill="FFFFFF"/>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个人利用职权进行前款违法行为的，依照前款规定追究责任。</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第六十三条</w:t>
      </w:r>
      <w:r>
        <w:rPr>
          <w:rFonts w:hint="eastAsia" w:ascii="微软雅黑" w:hAnsi="微软雅黑" w:eastAsia="微软雅黑" w:cs="微软雅黑"/>
          <w:i w:val="0"/>
          <w:caps w:val="0"/>
          <w:color w:val="676767"/>
          <w:spacing w:val="0"/>
          <w:sz w:val="24"/>
          <w:szCs w:val="24"/>
          <w:shd w:val="clear" w:fill="FFFFFF"/>
        </w:rPr>
        <w:t>    对招标投标活动依法负有行政监督职责的国家机关工作人员徇私舞弊、滥用职权或者玩忽职守，构成犯罪的，依法追究刑事责任；不构成犯罪的，依法给予行政处分。</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第六十四条</w:t>
      </w:r>
      <w:r>
        <w:rPr>
          <w:rFonts w:hint="eastAsia" w:ascii="微软雅黑" w:hAnsi="微软雅黑" w:eastAsia="微软雅黑" w:cs="微软雅黑"/>
          <w:i w:val="0"/>
          <w:caps w:val="0"/>
          <w:color w:val="676767"/>
          <w:spacing w:val="0"/>
          <w:sz w:val="24"/>
          <w:szCs w:val="24"/>
          <w:shd w:val="clear" w:fill="FFFFFF"/>
        </w:rPr>
        <w:t>    依法必须进行招标的项目违反本法规定，中标无效的，应当依照本法规定的中标条件从其余投标人中重新确定中标人或者依照本法重新进行招标。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第六章    附    则</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第六十五条</w:t>
      </w:r>
      <w:r>
        <w:rPr>
          <w:rFonts w:hint="eastAsia" w:ascii="微软雅黑" w:hAnsi="微软雅黑" w:eastAsia="微软雅黑" w:cs="微软雅黑"/>
          <w:i w:val="0"/>
          <w:caps w:val="0"/>
          <w:color w:val="676767"/>
          <w:spacing w:val="0"/>
          <w:sz w:val="24"/>
          <w:szCs w:val="24"/>
          <w:shd w:val="clear" w:fill="FFFFFF"/>
        </w:rPr>
        <w:t>    投标人和其他利害关系人认为招标投标活动不符合本法有关规定的，有权向招标人提出异议或者依法向有关行政监督部门投诉。</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第六十六条</w:t>
      </w:r>
      <w:r>
        <w:rPr>
          <w:rFonts w:hint="eastAsia" w:ascii="微软雅黑" w:hAnsi="微软雅黑" w:eastAsia="微软雅黑" w:cs="微软雅黑"/>
          <w:i w:val="0"/>
          <w:caps w:val="0"/>
          <w:color w:val="676767"/>
          <w:spacing w:val="0"/>
          <w:sz w:val="24"/>
          <w:szCs w:val="24"/>
          <w:shd w:val="clear" w:fill="FFFFFF"/>
        </w:rPr>
        <w:t>    涉及国家安全、国家秘密、抢险救灾或者属于利用扶贫资金实行以工代赈、需要使用农民工等特殊情况，不适宜进行招标的项目，按照国家有关规定可以不进行招标。</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第六十七条</w:t>
      </w:r>
      <w:r>
        <w:rPr>
          <w:rFonts w:hint="eastAsia" w:ascii="微软雅黑" w:hAnsi="微软雅黑" w:eastAsia="微软雅黑" w:cs="微软雅黑"/>
          <w:i w:val="0"/>
          <w:caps w:val="0"/>
          <w:color w:val="676767"/>
          <w:spacing w:val="0"/>
          <w:sz w:val="24"/>
          <w:szCs w:val="24"/>
          <w:shd w:val="clear" w:fill="FFFFFF"/>
        </w:rPr>
        <w:t>    使用国际组织或者外国政府贷款、援助资金的项目进行招标，贷款方、资金提供方对招标投标的具体条件和程序有不同规定的，可以适用其规定，但违背中华人民共和国的社会公共利益的除外。</w:t>
      </w:r>
      <w:r>
        <w:rPr>
          <w:rFonts w:hint="eastAsia" w:ascii="微软雅黑" w:hAnsi="微软雅黑" w:eastAsia="微软雅黑" w:cs="微软雅黑"/>
          <w:i w:val="0"/>
          <w:caps w:val="0"/>
          <w:color w:val="676767"/>
          <w:spacing w:val="0"/>
          <w:sz w:val="24"/>
          <w:szCs w:val="24"/>
          <w:shd w:val="clear" w:fill="FFFFFF"/>
        </w:rPr>
        <w:br w:type="textWrapping"/>
      </w:r>
      <w:r>
        <w:rPr>
          <w:rStyle w:val="6"/>
          <w:rFonts w:hint="eastAsia" w:ascii="微软雅黑" w:hAnsi="微软雅黑" w:eastAsia="微软雅黑" w:cs="微软雅黑"/>
          <w:i w:val="0"/>
          <w:caps w:val="0"/>
          <w:color w:val="676767"/>
          <w:spacing w:val="0"/>
          <w:sz w:val="24"/>
          <w:szCs w:val="24"/>
          <w:shd w:val="clear" w:fill="FFFFFF"/>
        </w:rPr>
        <w:t>第六十八条 </w:t>
      </w:r>
      <w:r>
        <w:rPr>
          <w:rFonts w:hint="eastAsia" w:ascii="微软雅黑" w:hAnsi="微软雅黑" w:eastAsia="微软雅黑" w:cs="微软雅黑"/>
          <w:i w:val="0"/>
          <w:caps w:val="0"/>
          <w:color w:val="676767"/>
          <w:spacing w:val="0"/>
          <w:sz w:val="24"/>
          <w:szCs w:val="24"/>
          <w:shd w:val="clear" w:fill="FFFFFF"/>
        </w:rPr>
        <w:t>  本法自２０００年１月１日起施行。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5095A"/>
    <w:rsid w:val="0FE872BB"/>
    <w:rsid w:val="1D1A252B"/>
    <w:rsid w:val="3415095A"/>
    <w:rsid w:val="3CA42AE6"/>
    <w:rsid w:val="5EC2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2019-07-10T14:59:00Z</dcterms:created>
  <dc:creator>你好846322</dc:creator>
  <cp:lastModifiedBy>你好846322</cp:lastModifiedBy>
  <dcterms:modified xsi:type="dcterms:W3CDTF">2019-07-15T08:56:09Z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