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33"/>
          <w:szCs w:val="33"/>
          <w:shd w:val="clear" w:fill="FFFFFF"/>
        </w:rPr>
        <w:t>住房城乡建设部关于废止《工程建设项目招标代理机构资格认定办法》的决定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30"/>
          <w:szCs w:val="30"/>
          <w:shd w:val="clear" w:fill="FFFFFF"/>
        </w:rPr>
        <w:t>中华人民共和国住房和城乡建设部令第38号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《住房城乡建设部关于废止&lt;工程建设项目招标代理机构资格认定办法&gt;的决定》已经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2018年2月12日第37次部常务会议审议通过，现予发布，自发布之日起施行。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3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住房城乡建设部部长　王蒙徽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3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2018年3月8日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3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767"/>
          <w:spacing w:val="0"/>
          <w:sz w:val="24"/>
          <w:szCs w:val="24"/>
          <w:shd w:val="clear" w:fill="FFFFFF"/>
        </w:rPr>
        <w:t>住房城乡建设部决定废止《工程建设项目招标代理机构资格认定办法》（建设部令第154号）。现予发布，自发布之日起施行。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87AFF"/>
    <w:rsid w:val="12C8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2019-07-12T16:00:00Z</dcterms:created>
  <dc:creator>你好846322</dc:creator>
  <cp:lastModifiedBy>你好846322</cp:lastModifiedBy>
  <dcterms:modified xsi:type="dcterms:W3CDTF">2019-07-12T16:00:54Z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