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75" w:lineRule="atLeast"/>
        <w:jc w:val="center"/>
        <w:rPr>
          <w:rFonts w:hint="eastAsia" w:ascii="宋体" w:hAnsi="宋体" w:eastAsia="宋体" w:cs="宋体"/>
          <w:sz w:val="21"/>
          <w:szCs w:val="21"/>
        </w:rPr>
      </w:pPr>
      <w:r>
        <w:rPr>
          <w:rFonts w:hint="eastAsia" w:ascii="宋体" w:hAnsi="宋体" w:eastAsia="宋体" w:cs="宋体"/>
          <w:b/>
          <w:kern w:val="0"/>
          <w:sz w:val="21"/>
          <w:szCs w:val="21"/>
          <w:lang w:val="en-US" w:eastAsia="zh-CN" w:bidi="ar"/>
        </w:rPr>
        <w:t>关于印发《江苏省房屋建筑和市政基础设施工程项目招标投标档案管理办法》的通知</w:t>
      </w:r>
    </w:p>
    <w:p>
      <w:pPr>
        <w:keepNext w:val="0"/>
        <w:keepLines w:val="0"/>
        <w:widowControl/>
        <w:suppressLineNumbers w:val="0"/>
        <w:spacing w:line="375" w:lineRule="atLeast"/>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苏建招办（2007）6号</w:t>
      </w:r>
    </w:p>
    <w:p>
      <w:pPr>
        <w:keepNext w:val="0"/>
        <w:keepLines w:val="0"/>
        <w:widowControl/>
        <w:suppressLineNumbers w:val="0"/>
        <w:spacing w:line="375" w:lineRule="atLeast"/>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苏建招协（2007）3号</w:t>
      </w:r>
    </w:p>
    <w:p>
      <w:pPr>
        <w:keepNext w:val="0"/>
        <w:keepLines w:val="0"/>
        <w:widowControl/>
        <w:suppressLineNumbers w:val="0"/>
        <w:spacing w:line="375" w:lineRule="atLeas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各市招标办（处）、交易中心、招标代理机构：</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为规范全省房屋建筑和市政基础设施工程项目招标投标档案管理，统一招标投标过程中档案资料的收集、整理和归档标准，依据有关法律、法规，结合我省实际，我办制定了《江苏省房屋建筑和市政基础设施工程项目招标投标档案管理办法》。现印发给你们，请遵照执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附件:</w:t>
      </w:r>
    </w:p>
    <w:p>
      <w:pPr>
        <w:keepNext w:val="0"/>
        <w:keepLines w:val="0"/>
        <w:widowControl/>
        <w:suppressLineNumbers w:val="0"/>
        <w:spacing w:line="375" w:lineRule="atLeast"/>
        <w:jc w:val="center"/>
        <w:rPr>
          <w:rFonts w:hint="eastAsia" w:ascii="宋体" w:hAnsi="宋体" w:eastAsia="宋体" w:cs="宋体"/>
          <w:sz w:val="21"/>
          <w:szCs w:val="21"/>
        </w:rPr>
      </w:pPr>
      <w:r>
        <w:rPr>
          <w:rFonts w:hint="eastAsia" w:ascii="宋体" w:hAnsi="宋体" w:eastAsia="宋体" w:cs="宋体"/>
          <w:b/>
          <w:kern w:val="0"/>
          <w:sz w:val="21"/>
          <w:szCs w:val="21"/>
          <w:lang w:val="en-US" w:eastAsia="zh-CN" w:bidi="ar"/>
        </w:rPr>
        <w:t>江苏省房屋建筑和市政基础设施工程项目</w:t>
      </w:r>
    </w:p>
    <w:p>
      <w:pPr>
        <w:keepNext w:val="0"/>
        <w:keepLines w:val="0"/>
        <w:widowControl/>
        <w:suppressLineNumbers w:val="0"/>
        <w:spacing w:line="375" w:lineRule="atLeast"/>
        <w:jc w:val="center"/>
        <w:rPr>
          <w:rFonts w:hint="eastAsia" w:ascii="宋体" w:hAnsi="宋体" w:eastAsia="宋体" w:cs="宋体"/>
          <w:sz w:val="21"/>
          <w:szCs w:val="21"/>
        </w:rPr>
      </w:pPr>
      <w:r>
        <w:rPr>
          <w:rFonts w:hint="eastAsia" w:ascii="宋体" w:hAnsi="宋体" w:eastAsia="宋体" w:cs="宋体"/>
          <w:b/>
          <w:kern w:val="0"/>
          <w:sz w:val="21"/>
          <w:szCs w:val="21"/>
          <w:lang w:val="en-US" w:eastAsia="zh-CN" w:bidi="ar"/>
        </w:rPr>
        <w:t>招标投标档案管理办法</w:t>
      </w:r>
    </w:p>
    <w:p>
      <w:pPr>
        <w:keepNext w:val="0"/>
        <w:keepLines w:val="0"/>
        <w:widowControl/>
        <w:suppressLineNumbers w:val="0"/>
        <w:spacing w:line="375" w:lineRule="atLeas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第一条 </w:t>
      </w:r>
      <w:r>
        <w:rPr>
          <w:rFonts w:hint="eastAsia" w:ascii="宋体" w:hAnsi="宋体" w:eastAsia="宋体" w:cs="宋体"/>
          <w:kern w:val="0"/>
          <w:sz w:val="21"/>
          <w:szCs w:val="21"/>
          <w:lang w:val="en-US" w:eastAsia="zh-CN" w:bidi="ar"/>
        </w:rPr>
        <w:t>为规范全省房屋建筑和市政基础设施工程项目招标投标档案管理，统一招标投标过程中档案资料的收集、整理和归档标准，依据有关法律、法规，结合我省实际，制定本办法。</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第二条 </w:t>
      </w:r>
      <w:r>
        <w:rPr>
          <w:rFonts w:hint="eastAsia" w:ascii="宋体" w:hAnsi="宋体" w:eastAsia="宋体" w:cs="宋体"/>
          <w:kern w:val="0"/>
          <w:sz w:val="21"/>
          <w:szCs w:val="21"/>
          <w:lang w:val="en-US" w:eastAsia="zh-CN" w:bidi="ar"/>
        </w:rPr>
        <w:t>本办法所称的招标投标档案是指房屋建筑和市政基础设施工程项目招标投标活动过程中形成的，并能真实反映招标投标活动内容，具有保存价值的文字、数字、图表、光盘等各种文件资料。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第三条</w:t>
      </w:r>
      <w:r>
        <w:rPr>
          <w:rFonts w:hint="eastAsia" w:ascii="宋体" w:hAnsi="宋体" w:eastAsia="宋体" w:cs="宋体"/>
          <w:kern w:val="0"/>
          <w:sz w:val="21"/>
          <w:szCs w:val="21"/>
          <w:lang w:val="en-US" w:eastAsia="zh-CN" w:bidi="ar"/>
        </w:rPr>
        <w:t> 各级建设行政主管部门负责招标投标档案管理和监督检查工作，具体工作由其所属的建设工程招标投标监督管理机构（以下简称“监管机构”）负责，各级监管机构应当按照本办法的规定建立招标投标档案。</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第四条 </w:t>
      </w:r>
      <w:r>
        <w:rPr>
          <w:rFonts w:hint="eastAsia" w:ascii="宋体" w:hAnsi="宋体" w:eastAsia="宋体" w:cs="宋体"/>
          <w:kern w:val="0"/>
          <w:sz w:val="21"/>
          <w:szCs w:val="21"/>
          <w:lang w:val="en-US" w:eastAsia="zh-CN" w:bidi="ar"/>
        </w:rPr>
        <w:t>归档的招投标文件资料，其内容必须准确、齐全完整、真实反映招标投标活动的过程。</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第五条 </w:t>
      </w:r>
      <w:r>
        <w:rPr>
          <w:rFonts w:hint="eastAsia" w:ascii="宋体" w:hAnsi="宋体" w:eastAsia="宋体" w:cs="宋体"/>
          <w:kern w:val="0"/>
          <w:sz w:val="21"/>
          <w:szCs w:val="21"/>
          <w:lang w:val="en-US" w:eastAsia="zh-CN" w:bidi="ar"/>
        </w:rPr>
        <w:t>监管机构的项目经办人应在监督过程中及时收集、整理、保存依照有关法定程序备案招标投标过程中产生的各种文件资料，并应当在接受施工合同备案之日起五日内，将有关收集齐全的归档招投标文件材料交档案管理人员。经办人发生变化时，应当做好交接工作。</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第六条</w:t>
      </w:r>
      <w:r>
        <w:rPr>
          <w:rFonts w:hint="eastAsia" w:ascii="宋体" w:hAnsi="宋体" w:eastAsia="宋体" w:cs="宋体"/>
          <w:kern w:val="0"/>
          <w:sz w:val="21"/>
          <w:szCs w:val="21"/>
          <w:lang w:val="en-US" w:eastAsia="zh-CN" w:bidi="ar"/>
        </w:rPr>
        <w:t> 招标投标档案应当专人管理。档案管理人员应遵守档案管理的有关法律、法规和规章制度。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档案管理人员在收到归档的招标投标文件材料后，应及时登记，并认真做好档案资料的立卷、装订、归档和集中管理工作。归档整理应符合建设部颁布的《建设工程文件归档整理规范》（GB/T50328-2001）的要求。</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第七条</w:t>
      </w:r>
      <w:r>
        <w:rPr>
          <w:rFonts w:hint="eastAsia" w:ascii="宋体" w:hAnsi="宋体" w:eastAsia="宋体" w:cs="宋体"/>
          <w:kern w:val="0"/>
          <w:sz w:val="21"/>
          <w:szCs w:val="21"/>
          <w:lang w:val="en-US" w:eastAsia="zh-CN" w:bidi="ar"/>
        </w:rPr>
        <w:t> 招标投标监管机构收集、整理、归档的文件资料应当包括以下内容,并按下列顺序装订成册：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（一）工程建设项目发包初步方案及其附件；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附件包括：1、工程建设项目审批或者备案文件的复印件；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2、邀请招标或直接发包的证明材料；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3、满足招标条件的其他材料的复印件。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（二）招标人自行办理招标事宜备案表及附件资料；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（三）工程招标代理委托合同、授权委托书及工程招标代理项目组组成人员情况表；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（四）单独委托编制施工标底的标底编制委托合同；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（五）招标公告或者投标邀请书；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（六）投标申请人投标报名及获取资格预审文件或招标文件一览表；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（七）资格预审文件，中标人资格预审申请材料的复印件,资格审查情况报告；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（八）招标文件以及对招标文件的澄清或者修改文件；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（九）清标情况报告;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（十）业主评委备案表，专家评委抽取、通知记录表；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（十一）标底的封面、编制说明及报价汇总表；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（十二）评标报告；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（十三）招标投标情况的书面报告（其中在前面程序中已提交过的内容，可以不重复提交。）；</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（十四）中标结果公示表；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（十五）中标通知书；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（十六）中标人投标文件中的授权委托书、投标函、报价汇总表、项目班子配备情况以及有关联合体、分包等重要资料的复印件；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（十七）合同副本；</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（十八）工程招标代理评价意见表；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（十九）工程建设项目招标投标备案流程表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（二十）工程建设项目招标投标合同备案表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（二十一）工程建设项目招标投标监督情况记录表；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（二十二）工程建设项目招标投标行政监督意见书；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（二十三）投标文件的电子光盘；</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（二十四）需要存档的其他材料。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中标人的投标文件副本，应当自施工合同接受备案之日起，保存六个月后方可处理。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第八条  </w:t>
      </w:r>
      <w:r>
        <w:rPr>
          <w:rFonts w:hint="eastAsia" w:ascii="宋体" w:hAnsi="宋体" w:eastAsia="宋体" w:cs="宋体"/>
          <w:kern w:val="0"/>
          <w:sz w:val="21"/>
          <w:szCs w:val="21"/>
          <w:lang w:val="en-US" w:eastAsia="zh-CN" w:bidi="ar"/>
        </w:rPr>
        <w:t>工程招标代理机构收集、整理、归档的招投标文件材料应当包括以下内容,并按下列顺序装订成册：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（一）工程建设项目发包初步方案及其附件；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附件包括：1、工程建设项目审批或者备案文件的复印件；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2、邀请招标或直接发包的证明材料。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3、满足招标条件的其他材料的复印件。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（二）工程招标代理委托合同、授权委托书和工程招标代理项目组组成人员情况表;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（三）单独委托编制施工标底的标底编制委托合同;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（四）招标公告或投标邀请书;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（五）投标申请人投标报名及获取资格预审文件或招标文件一览表；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（六）资格预审文件，中标人资格预审申请材料；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（七）资格预审合格通知书与资格预审结果通知书及其发放、确认的记录;</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（八）资格预审情况报告;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（九）招标文件以及对招标文件澄清或者修改文件;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（十）招标文件以及对招标文件澄清或者修改文件的发放、签收记录;</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（十一）标底;</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（十二）投标文件签收、评委签到记录;</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（十三）清标情况报告;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（十四）评标报告;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（十五）招标投标情况的书面报告;</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（十六）中标结果公示表;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（十七）中标通知书;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（十八）工程招标代理评价意见表;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（十九）工程建设项目招标投标备案流程表</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（二十）工程建设项目招标投标行政监督意见书；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（二十一）中标人的投标文件副本;</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（二十二）需要存档的其他材料;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未中标单位的资格预审申请材料、投标文件应当自施工合同签订之日起，保存六个月后方可处理。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第九条</w:t>
      </w:r>
      <w:r>
        <w:rPr>
          <w:rFonts w:hint="eastAsia" w:ascii="宋体" w:hAnsi="宋体" w:eastAsia="宋体" w:cs="宋体"/>
          <w:kern w:val="0"/>
          <w:sz w:val="21"/>
          <w:szCs w:val="21"/>
          <w:lang w:val="en-US" w:eastAsia="zh-CN" w:bidi="ar"/>
        </w:rPr>
        <w:t> 归档的招投标文件材料应字迹清楚、图表整洁，需要单位或个人签章的，其签章手续应完备，并应采用碳素墨水、蓝黑墨水耐久性强的材料书写，不得使用圆珠笔、铅笔等易褪色的材料书写。</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所有存档的文件材料应统一使用A4或A3纸（图纸除外）。</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第十条</w:t>
      </w:r>
      <w:r>
        <w:rPr>
          <w:rFonts w:hint="eastAsia" w:ascii="宋体" w:hAnsi="宋体" w:eastAsia="宋体" w:cs="宋体"/>
          <w:kern w:val="0"/>
          <w:sz w:val="21"/>
          <w:szCs w:val="21"/>
          <w:lang w:val="en-US" w:eastAsia="zh-CN" w:bidi="ar"/>
        </w:rPr>
        <w:t>  招标投标文件材料的立卷与归档，应遵循文件材料的形成规律。同一项目分阶段招标的，每一阶段应分别组卷，内容相同的材料，可不必重复存档，但应在档案备考表中注明相关材料的存档信息；卷与卷之间应保持系统联系，便于档案的利用、查询和保管。</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第十一条 </w:t>
      </w:r>
      <w:r>
        <w:rPr>
          <w:rFonts w:hint="eastAsia" w:ascii="宋体" w:hAnsi="宋体" w:eastAsia="宋体" w:cs="宋体"/>
          <w:kern w:val="0"/>
          <w:sz w:val="21"/>
          <w:szCs w:val="21"/>
          <w:lang w:val="en-US" w:eastAsia="zh-CN" w:bidi="ar"/>
        </w:rPr>
        <w:t>归档装订的文件材料应有案卷封面和卷内目录；并在归档文件材料尾页之后附卷内备考表。案卷封面、卷内目录及卷内备考表（格式）见附件。</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第十二条</w:t>
      </w:r>
      <w:r>
        <w:rPr>
          <w:rFonts w:hint="eastAsia" w:ascii="宋体" w:hAnsi="宋体" w:eastAsia="宋体" w:cs="宋体"/>
          <w:kern w:val="0"/>
          <w:sz w:val="21"/>
          <w:szCs w:val="21"/>
          <w:lang w:val="en-US" w:eastAsia="zh-CN" w:bidi="ar"/>
        </w:rPr>
        <w:t>  监管机构可以将档案的立卷、装订、归档和保存等工作委托建设工程交易中心承担，并应建立健全档案的保管、保密、鉴定、销毁、查阅等制度。</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第十三条</w:t>
      </w:r>
      <w:r>
        <w:rPr>
          <w:rFonts w:hint="eastAsia" w:ascii="宋体" w:hAnsi="宋体" w:eastAsia="宋体" w:cs="宋体"/>
          <w:kern w:val="0"/>
          <w:sz w:val="21"/>
          <w:szCs w:val="21"/>
          <w:lang w:val="en-US" w:eastAsia="zh-CN" w:bidi="ar"/>
        </w:rPr>
        <w:t> 招标投标档案在监管机构（或建设工程交易中心）保管至合同备案后三年，即可移交当地城建档案馆保存。</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第十四条</w:t>
      </w:r>
      <w:r>
        <w:rPr>
          <w:rFonts w:hint="eastAsia" w:ascii="宋体" w:hAnsi="宋体" w:eastAsia="宋体" w:cs="宋体"/>
          <w:kern w:val="0"/>
          <w:sz w:val="21"/>
          <w:szCs w:val="21"/>
          <w:lang w:val="en-US" w:eastAsia="zh-CN" w:bidi="ar"/>
        </w:rPr>
        <w:t> 对保存期已满，须移交同级城建档案馆的档案，应按照有关规定办理移交手续。</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第十五条 </w:t>
      </w:r>
      <w:r>
        <w:rPr>
          <w:rFonts w:hint="eastAsia" w:ascii="宋体" w:hAnsi="宋体" w:eastAsia="宋体" w:cs="宋体"/>
          <w:kern w:val="0"/>
          <w:sz w:val="21"/>
          <w:szCs w:val="21"/>
          <w:lang w:val="en-US" w:eastAsia="zh-CN" w:bidi="ar"/>
        </w:rPr>
        <w:t>档案管理人员离开工作岗位前，应当按规定移交招投标档案资料，不得擅自处理或带走。</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禁止任何单位和个人倒卖、涂改、伪造招标投标档案。</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第十六条</w:t>
      </w:r>
      <w:r>
        <w:rPr>
          <w:rFonts w:hint="eastAsia" w:ascii="宋体" w:hAnsi="宋体" w:eastAsia="宋体" w:cs="宋体"/>
          <w:kern w:val="0"/>
          <w:sz w:val="21"/>
          <w:szCs w:val="21"/>
          <w:lang w:val="en-US" w:eastAsia="zh-CN" w:bidi="ar"/>
        </w:rPr>
        <w:t> 档案室的建设应当具有防盗、防火、防尘、防潮、防霉、防有害生物和防污染等安全设施，不得在危险和不安全的环境中保管档案。对破损、霉变、散失的档案，应及时采取抢救、复制、搜集等补救措施，确保档案的安全与完整。</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r>
        <w:rPr>
          <w:rFonts w:hint="eastAsia" w:ascii="宋体" w:hAnsi="宋体" w:eastAsia="宋体" w:cs="宋体"/>
          <w:b/>
          <w:kern w:val="0"/>
          <w:sz w:val="21"/>
          <w:szCs w:val="21"/>
          <w:lang w:val="en-US" w:eastAsia="zh-CN" w:bidi="ar"/>
        </w:rPr>
        <w:t>  第十七条  </w:t>
      </w:r>
      <w:r>
        <w:rPr>
          <w:rFonts w:hint="eastAsia" w:ascii="宋体" w:hAnsi="宋体" w:eastAsia="宋体" w:cs="宋体"/>
          <w:kern w:val="0"/>
          <w:sz w:val="21"/>
          <w:szCs w:val="21"/>
          <w:lang w:val="en-US" w:eastAsia="zh-CN" w:bidi="ar"/>
        </w:rPr>
        <w:t>招投标档案只能当场查阅，不能借阅。查阅、摘抄或复印招投标档案资料，必须履行批准、登记手续。查阅档案时，必须精心爱护，不得拆卷、抽页、涂改、销毁。</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b/>
          <w:kern w:val="0"/>
          <w:sz w:val="21"/>
          <w:szCs w:val="21"/>
          <w:lang w:val="en-US" w:eastAsia="zh-CN" w:bidi="ar"/>
        </w:rPr>
        <w:t>   第十八条 </w:t>
      </w:r>
      <w:r>
        <w:rPr>
          <w:rFonts w:hint="eastAsia" w:ascii="宋体" w:hAnsi="宋体" w:eastAsia="宋体" w:cs="宋体"/>
          <w:kern w:val="0"/>
          <w:sz w:val="21"/>
          <w:szCs w:val="21"/>
          <w:lang w:val="en-US" w:eastAsia="zh-CN" w:bidi="ar"/>
        </w:rPr>
        <w:t>本办法自发布之日起施行。</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附：案卷封面（式样）、卷内目录（式样）、卷内备考表（式样）</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line="375"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二○○七年八月三十日</w:t>
      </w:r>
    </w:p>
    <w:p>
      <w:pPr>
        <w:keepNext w:val="0"/>
        <w:keepLines w:val="0"/>
        <w:widowControl/>
        <w:suppressLineNumbers w:val="0"/>
        <w:spacing w:line="375" w:lineRule="atLeast"/>
        <w:jc w:val="both"/>
        <w:rPr>
          <w:rFonts w:ascii="仿宋_GB2312" w:hAnsi="宋体" w:eastAsia="仿宋_GB2312" w:cs="仿宋_GB2312"/>
          <w:b/>
          <w:kern w:val="0"/>
          <w:sz w:val="32"/>
          <w:szCs w:val="32"/>
          <w:lang w:val="en-US" w:eastAsia="zh-CN" w:bidi="ar"/>
        </w:rPr>
      </w:pPr>
    </w:p>
    <w:p>
      <w:pPr>
        <w:rPr>
          <w:rFonts w:ascii="仿宋_GB2312" w:hAnsi="宋体" w:eastAsia="仿宋_GB2312" w:cs="仿宋_GB2312"/>
          <w:b/>
          <w:kern w:val="0"/>
          <w:sz w:val="32"/>
          <w:szCs w:val="32"/>
          <w:lang w:val="en-US" w:eastAsia="zh-CN" w:bidi="ar"/>
        </w:rPr>
      </w:pPr>
      <w:r>
        <w:rPr>
          <w:rFonts w:ascii="仿宋_GB2312" w:hAnsi="宋体" w:eastAsia="仿宋_GB2312" w:cs="仿宋_GB2312"/>
          <w:b/>
          <w:kern w:val="0"/>
          <w:sz w:val="32"/>
          <w:szCs w:val="32"/>
          <w:lang w:val="en-US" w:eastAsia="zh-CN" w:bidi="ar"/>
        </w:rPr>
        <w:br w:type="page"/>
      </w:r>
    </w:p>
    <w:p>
      <w:pPr>
        <w:keepNext w:val="0"/>
        <w:keepLines w:val="0"/>
        <w:widowControl/>
        <w:suppressLineNumbers w:val="0"/>
        <w:spacing w:line="375" w:lineRule="atLeast"/>
        <w:jc w:val="both"/>
        <w:rPr>
          <w:rFonts w:hint="eastAsia" w:ascii="宋体" w:hAnsi="宋体" w:eastAsia="宋体" w:cs="宋体"/>
          <w:kern w:val="0"/>
          <w:sz w:val="21"/>
          <w:szCs w:val="21"/>
          <w:lang w:val="en-US" w:eastAsia="zh-CN" w:bidi="ar"/>
        </w:rPr>
      </w:pPr>
      <w:r>
        <w:rPr>
          <w:rFonts w:ascii="仿宋_GB2312" w:hAnsi="宋体" w:eastAsia="仿宋_GB2312" w:cs="仿宋_GB2312"/>
          <w:b/>
          <w:kern w:val="0"/>
          <w:sz w:val="32"/>
          <w:szCs w:val="32"/>
          <w:lang w:val="en-US" w:eastAsia="zh-CN" w:bidi="ar"/>
        </w:rPr>
        <w:t>附件：</w:t>
      </w:r>
    </w:p>
    <w:tbl>
      <w:tblPr>
        <w:tblW w:w="8306" w:type="dxa"/>
        <w:tblCellSpacing w:w="0" w:type="dxa"/>
        <w:tblInd w:w="0" w:type="dxa"/>
        <w:shd w:val="clear" w:color="auto" w:fill="F3FA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2850" w:hRule="atLeast"/>
          <w:tblCellSpacing w:w="0" w:type="dxa"/>
        </w:trPr>
        <w:tc>
          <w:tcPr>
            <w:tcW w:w="8306" w:type="dxa"/>
            <w:shd w:val="clear" w:color="auto" w:fill="F3FAFF"/>
            <w:vAlign w:val="top"/>
          </w:tcPr>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top"/>
                </w:tcPr>
                <w:tbl>
                  <w:tblPr>
                    <w:tblpPr w:vertAnchor="text" w:tblpXSpec="left"/>
                    <w:tblW w:w="8306"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039"/>
                    <w:gridCol w:w="2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gridAfter w:val="1"/>
                      <w:wAfter w:w="267" w:type="dxa"/>
                      <w:trHeight w:val="11535" w:hRule="atLeast"/>
                    </w:trPr>
                    <w:tc>
                      <w:tcPr>
                        <w:tcW w:w="80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b/>
                            <w:kern w:val="0"/>
                            <w:sz w:val="21"/>
                            <w:szCs w:val="21"/>
                            <w:lang w:val="en-US" w:eastAsia="zh-CN" w:bidi="ar"/>
                          </w:rPr>
                          <w:t>案卷封面式样</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案卷编号：（项目编号）</w:t>
                        </w:r>
                      </w:p>
                      <w:p>
                        <w:pPr>
                          <w:keepNext w:val="0"/>
                          <w:keepLines w:val="0"/>
                          <w:widowControl/>
                          <w:suppressLineNumbers w:val="0"/>
                          <w:spacing w:before="0" w:beforeAutospacing="1" w:after="0" w:afterAutospacing="1" w:line="375" w:lineRule="atLeast"/>
                          <w:ind w:left="0" w:right="0" w:firstLine="600"/>
                          <w:jc w:val="left"/>
                          <w:rPr>
                            <w:rFonts w:hint="eastAsia" w:ascii="宋体" w:hAnsi="宋体" w:eastAsia="宋体" w:cs="宋体"/>
                            <w:sz w:val="21"/>
                            <w:szCs w:val="21"/>
                          </w:rPr>
                        </w:pPr>
                        <w:r>
                          <w:rPr>
                            <w:rFonts w:hint="default" w:ascii="仿宋_GB2312" w:hAnsi="宋体" w:eastAsia="仿宋_GB2312" w:cs="仿宋_GB2312"/>
                            <w:kern w:val="0"/>
                            <w:sz w:val="30"/>
                            <w:szCs w:val="30"/>
                            <w:lang w:val="en-US" w:eastAsia="zh-CN" w:bidi="ar"/>
                          </w:rPr>
                          <w:t>案卷标题：招标项目名称（要求写明项目全称并具体到招标内容）</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kern w:val="0"/>
                            <w:sz w:val="30"/>
                            <w:szCs w:val="30"/>
                            <w:lang w:val="en-US" w:eastAsia="zh-CN" w:bidi="ar"/>
                          </w:rPr>
                        </w:pPr>
                      </w:p>
                      <w:p>
                        <w:pPr>
                          <w:keepNext w:val="0"/>
                          <w:keepLines w:val="0"/>
                          <w:widowControl/>
                          <w:suppressLineNumbers w:val="0"/>
                          <w:spacing w:before="0" w:beforeAutospacing="1" w:after="0" w:afterAutospacing="1" w:line="375" w:lineRule="atLeast"/>
                          <w:ind w:left="0" w:right="0" w:firstLine="1800" w:firstLineChars="600"/>
                          <w:jc w:val="left"/>
                          <w:rPr>
                            <w:rFonts w:hint="eastAsia" w:ascii="宋体" w:hAnsi="宋体" w:eastAsia="宋体" w:cs="宋体"/>
                            <w:sz w:val="21"/>
                            <w:szCs w:val="21"/>
                          </w:rPr>
                        </w:pPr>
                        <w:r>
                          <w:rPr>
                            <w:rFonts w:hint="default" w:ascii="仿宋_GB2312" w:hAnsi="宋体" w:eastAsia="仿宋_GB2312" w:cs="仿宋_GB2312"/>
                            <w:kern w:val="0"/>
                            <w:sz w:val="30"/>
                            <w:szCs w:val="30"/>
                            <w:lang w:val="en-US" w:eastAsia="zh-CN" w:bidi="ar"/>
                          </w:rPr>
                          <w:t>建设单位名称：</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招标代理机构名称：</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xml:space="preserve">      </w:t>
                        </w:r>
                        <w:r>
                          <w:rPr>
                            <w:rFonts w:hint="default" w:ascii="仿宋_GB2312" w:hAnsi="宋体" w:eastAsia="仿宋_GB2312" w:cs="仿宋_GB2312"/>
                            <w:kern w:val="0"/>
                            <w:sz w:val="30"/>
                            <w:szCs w:val="30"/>
                            <w:lang w:val="en-US" w:eastAsia="zh-CN" w:bidi="ar"/>
                          </w:rPr>
                          <w:t>招标时间：</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年</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月至</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年</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月</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归档时间：</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xml:space="preserve">       </w:t>
                        </w:r>
                        <w:r>
                          <w:rPr>
                            <w:rFonts w:hint="default" w:ascii="仿宋_GB2312" w:hAnsi="宋体" w:eastAsia="仿宋_GB2312" w:cs="仿宋_GB2312"/>
                            <w:kern w:val="0"/>
                            <w:sz w:val="30"/>
                            <w:szCs w:val="30"/>
                            <w:lang w:val="en-US" w:eastAsia="zh-CN" w:bidi="ar"/>
                          </w:rPr>
                          <w:t>共</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卷</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第</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459" w:hRule="atLeast"/>
                    </w:trPr>
                    <w:tc>
                      <w:tcPr>
                        <w:tcW w:w="830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rPr>
                            <w:rFonts w:hint="default" w:ascii="仿宋_GB2312" w:hAnsi="宋体" w:eastAsia="仿宋_GB2312" w:cs="仿宋_GB2312"/>
                            <w:kern w:val="0"/>
                            <w:sz w:val="24"/>
                            <w:szCs w:val="24"/>
                            <w:lang w:val="en-US" w:eastAsia="zh-CN" w:bidi="ar"/>
                          </w:rPr>
                        </w:pPr>
                        <w:r>
                          <w:rPr>
                            <w:rFonts w:hint="default" w:ascii="仿宋_GB2312" w:hAnsi="宋体" w:eastAsia="仿宋_GB2312" w:cs="仿宋_GB2312"/>
                            <w:kern w:val="0"/>
                            <w:sz w:val="36"/>
                            <w:szCs w:val="36"/>
                            <w:lang w:val="en-US" w:eastAsia="zh-CN" w:bidi="ar"/>
                          </w:rPr>
                          <w:t>卷内目录式样（招标投标监管机构）</w:t>
                        </w:r>
                        <w:bookmarkStart w:id="0" w:name="_GoBack"/>
                        <w:bookmarkEnd w:id="0"/>
                      </w:p>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卷内目录</w:t>
                        </w:r>
                      </w:p>
                      <w:tbl>
                        <w:tblPr>
                          <w:tblW w:w="9043"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35"/>
                          <w:gridCol w:w="720"/>
                          <w:gridCol w:w="1116"/>
                          <w:gridCol w:w="4464"/>
                          <w:gridCol w:w="720"/>
                          <w:gridCol w:w="612"/>
                          <w:gridCol w:w="8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71" w:hRule="atLeast"/>
                          </w:trPr>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序号</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文件编号</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责任者</w:t>
                              </w:r>
                            </w:p>
                          </w:tc>
                          <w:tc>
                            <w:tcPr>
                              <w:tcW w:w="44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文件题目</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日期</w:t>
                              </w:r>
                            </w:p>
                          </w:tc>
                          <w:tc>
                            <w:tcPr>
                              <w:tcW w:w="6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页次</w:t>
                              </w:r>
                            </w:p>
                          </w:tc>
                          <w:tc>
                            <w:tcPr>
                              <w:tcW w:w="8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工程建设项目发包初步方案，及其附件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招标人自行办理招标事宜备案表及附件资料</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工程招标代理委托合同、授权委托书及工程招标代理项目组组成人员情况表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单独委托编制施工标底的标底编制委托合同</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招标公告或者投标邀请书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投标申请人投标报名及获取资格预审文件或招标文件一览表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资格预审文件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中标人资格预审申请材料的复印件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资格审查情况报告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招标文件以及对招标文件的澄清或者修改文件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清标情况报告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业主评委备案表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专家评委抽取、通知记录表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标底的封面、编制说明及报价汇总表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评标报告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招标投标情况的书面报告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中标结果公示表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中标通知书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中标人投标文件中的授权委托书、投标函、报价汇总表、项目班子配备情况以及有关联合体、分包等重要资料的复印件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合同副本</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工程招标代理评价意见表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工程建设项目招标投标备案流程表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工程建设项目招标投标合同备案表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工程建设项目招标投标监督情况记录表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工程建设项目招标投标行政监督意见书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投标文件的电子光盘</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 </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bl>
                      <w:p>
                        <w:pPr>
                          <w:spacing w:before="0" w:beforeAutospacing="1" w:after="0" w:afterAutospacing="1" w:line="375" w:lineRule="atLeast"/>
                          <w:ind w:left="0" w:right="0"/>
                          <w:jc w:val="both"/>
                          <w:rPr>
                            <w:rFonts w:hint="eastAsia" w:ascii="宋体" w:hAnsi="宋体" w:eastAsia="宋体" w:cs="宋体"/>
                            <w:sz w:val="21"/>
                            <w:szCs w:val="21"/>
                          </w:rPr>
                        </w:pPr>
                      </w:p>
                    </w:tc>
                  </w:tr>
                </w:tbl>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bl>
                  <w:tblPr>
                    <w:tblpPr w:vertAnchor="text" w:tblpXSpec="left"/>
                    <w:tblW w:w="9269"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92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982" w:hRule="atLeast"/>
                    </w:trPr>
                    <w:tc>
                      <w:tcPr>
                        <w:tcW w:w="92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卷内目录</w:t>
                        </w:r>
                      </w:p>
                      <w:tbl>
                        <w:tblPr>
                          <w:tblW w:w="9043"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35"/>
                          <w:gridCol w:w="720"/>
                          <w:gridCol w:w="1116"/>
                          <w:gridCol w:w="4464"/>
                          <w:gridCol w:w="720"/>
                          <w:gridCol w:w="612"/>
                          <w:gridCol w:w="8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71" w:hRule="atLeast"/>
                          </w:trPr>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序号</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文件编号</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责任者</w:t>
                              </w:r>
                            </w:p>
                          </w:tc>
                          <w:tc>
                            <w:tcPr>
                              <w:tcW w:w="44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文件题目</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日期</w:t>
                              </w:r>
                            </w:p>
                          </w:tc>
                          <w:tc>
                            <w:tcPr>
                              <w:tcW w:w="6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页次</w:t>
                              </w:r>
                            </w:p>
                          </w:tc>
                          <w:tc>
                            <w:tcPr>
                              <w:tcW w:w="8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工程建设项目发包初步方案，及其附件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工程招标代理委托合同、授权委托书和工程招标代理项目组组成人员情况表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单独委托编制施工标底的标底编制委托合同</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招标公告或投标邀请书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投标申请人投标报名及获取资格预审文件或招标文件一览表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资格预审文件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中标人资格预审申请材料</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资格预审合格通知书与资格预审结果通知书及其发放、确认的记录</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资格预审情况报告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招标文件以及对招标文件澄清或者修改文件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招标文件以及对招标文件澄清或者修改文件的发放、签收记录</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标底</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投标文件签收</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评委签到记录</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清标情况报告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评标报告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招标投标情况的书面报告</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中标结果公示表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中标通知书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工程招标代理评价意见表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工程建设项目招标投标备案流程表</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工程建设项目招标投标行政监督意见书</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中标人的投标文件副本</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4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default" w:ascii="仿宋_GB2312" w:hAnsi="宋体" w:eastAsia="仿宋_GB2312" w:cs="仿宋_GB2312"/>
                                  <w:kern w:val="0"/>
                                  <w:sz w:val="21"/>
                                  <w:szCs w:val="21"/>
                                  <w:lang w:val="en-US" w:eastAsia="zh-CN" w:bidi="ar"/>
                                </w:rPr>
                                <w:t> </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 </w:t>
                              </w:r>
                            </w:p>
                          </w:tc>
                        </w:tr>
                      </w:tbl>
                      <w:p>
                        <w:pPr>
                          <w:spacing w:before="0" w:beforeAutospacing="1" w:after="0" w:afterAutospacing="1" w:line="375" w:lineRule="atLeast"/>
                          <w:ind w:left="0" w:right="0"/>
                          <w:jc w:val="center"/>
                          <w:rPr>
                            <w:rFonts w:hint="eastAsia" w:ascii="宋体" w:hAnsi="宋体" w:eastAsia="宋体" w:cs="宋体"/>
                            <w:sz w:val="21"/>
                            <w:szCs w:val="21"/>
                          </w:rPr>
                        </w:pPr>
                      </w:p>
                    </w:tc>
                  </w:tr>
                </w:tbl>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bl>
                  <w:tblPr>
                    <w:tblpPr w:vertAnchor="text" w:tblpXSpec="left"/>
                    <w:tblW w:w="8306"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2015" w:hRule="atLeast"/>
                    </w:trPr>
                    <w:tc>
                      <w:tcPr>
                        <w:tcW w:w="83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default" w:ascii="仿宋_GB2312" w:hAnsi="宋体" w:eastAsia="仿宋_GB2312" w:cs="仿宋_GB2312"/>
                            <w:kern w:val="0"/>
                            <w:sz w:val="30"/>
                            <w:szCs w:val="30"/>
                            <w:lang w:val="en-US" w:eastAsia="zh-CN" w:bidi="ar"/>
                          </w:rPr>
                          <w:t>卷内备考表</w:t>
                        </w:r>
                      </w:p>
                      <w:p>
                        <w:pPr>
                          <w:keepNext w:val="0"/>
                          <w:keepLines w:val="0"/>
                          <w:widowControl/>
                          <w:suppressLineNumbers w:val="0"/>
                          <w:spacing w:before="0" w:beforeAutospacing="1" w:after="0" w:afterAutospacing="1" w:line="375" w:lineRule="atLeast"/>
                          <w:ind w:left="0" w:right="0"/>
                          <w:jc w:val="center"/>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firstLine="600"/>
                          <w:jc w:val="left"/>
                          <w:rPr>
                            <w:rFonts w:hint="eastAsia" w:ascii="宋体" w:hAnsi="宋体" w:eastAsia="宋体" w:cs="宋体"/>
                            <w:sz w:val="21"/>
                            <w:szCs w:val="21"/>
                          </w:rPr>
                        </w:pPr>
                        <w:r>
                          <w:rPr>
                            <w:rFonts w:hint="default" w:ascii="仿宋_GB2312" w:hAnsi="宋体" w:eastAsia="仿宋_GB2312" w:cs="仿宋_GB2312"/>
                            <w:kern w:val="0"/>
                            <w:sz w:val="30"/>
                            <w:szCs w:val="30"/>
                            <w:lang w:val="en-US" w:eastAsia="zh-CN" w:bidi="ar"/>
                          </w:rPr>
                          <w:t>本案卷共有文件材料</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页，其中：</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文字材料</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页，图样材料</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页，光盘</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张，照片</w:t>
                        </w: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张。</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r>
                          <w:rPr>
                            <w:rFonts w:hint="default" w:ascii="仿宋_GB2312" w:hAnsi="宋体" w:eastAsia="仿宋_GB2312" w:cs="仿宋_GB2312"/>
                            <w:kern w:val="0"/>
                            <w:sz w:val="30"/>
                            <w:szCs w:val="30"/>
                            <w:lang w:val="en-US" w:eastAsia="zh-CN" w:bidi="ar"/>
                          </w:rPr>
                          <w:t>说明：</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立卷人：</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年</w:t>
                        </w: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月</w:t>
                        </w: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日</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审核人：</w:t>
                        </w:r>
                        <w:r>
                          <w:rPr>
                            <w:rFonts w:hint="eastAsia" w:ascii="宋体" w:hAnsi="宋体" w:eastAsia="宋体" w:cs="宋体"/>
                            <w:kern w:val="0"/>
                            <w:sz w:val="32"/>
                            <w:szCs w:val="32"/>
                            <w:lang w:val="en-US" w:eastAsia="zh-CN" w:bidi="ar"/>
                          </w:rPr>
                          <w:t>  </w:t>
                        </w:r>
                      </w:p>
                      <w:p>
                        <w:pPr>
                          <w:keepNext w:val="0"/>
                          <w:keepLines w:val="0"/>
                          <w:widowControl/>
                          <w:suppressLineNumbers w:val="0"/>
                          <w:spacing w:before="0" w:beforeAutospacing="1" w:after="0" w:afterAutospacing="1" w:line="375" w:lineRule="atLeast"/>
                          <w:ind w:left="0" w:right="0"/>
                          <w:jc w:val="left"/>
                          <w:rPr>
                            <w:rFonts w:hint="eastAsia" w:ascii="宋体" w:hAnsi="宋体" w:eastAsia="宋体" w:cs="宋体"/>
                            <w:sz w:val="21"/>
                            <w:szCs w:val="21"/>
                          </w:rPr>
                        </w:pP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年</w:t>
                        </w: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月</w:t>
                        </w:r>
                        <w:r>
                          <w:rPr>
                            <w:rFonts w:hint="eastAsia" w:ascii="宋体" w:hAnsi="宋体" w:eastAsia="宋体"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日</w:t>
                        </w:r>
                      </w:p>
                    </w:tc>
                  </w:tr>
                </w:tbl>
                <w:p>
                  <w:pPr>
                    <w:spacing w:before="0" w:beforeAutospacing="1" w:after="0" w:afterAutospacing="1" w:line="375" w:lineRule="atLeast"/>
                    <w:ind w:left="0" w:right="0"/>
                    <w:rPr>
                      <w:rFonts w:hint="eastAsia" w:ascii="宋体" w:hAnsi="宋体" w:eastAsia="宋体" w:cs="宋体"/>
                      <w:sz w:val="21"/>
                      <w:szCs w:val="21"/>
                    </w:rPr>
                  </w:pPr>
                </w:p>
              </w:tc>
            </w:tr>
          </w:tbl>
          <w:p>
            <w:pPr>
              <w:jc w:val="center"/>
              <w:rPr>
                <w:rFonts w:hint="eastAsia" w:ascii="宋体" w:hAnsi="宋体" w:eastAsia="宋体" w:cs="宋体"/>
                <w:caps w:val="0"/>
                <w:spacing w:val="0"/>
                <w:sz w:val="18"/>
                <w:szCs w:val="18"/>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66A67"/>
    <w:rsid w:val="3A76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2019-07-14T02:52:00Z</dcterms:created>
  <dc:creator>你好846322</dc:creator>
  <cp:lastModifiedBy>你好846322</cp:lastModifiedBy>
  <dcterms:modified xsi:type="dcterms:W3CDTF">2019-07-14T03:10:29Z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