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60" w:firstLineChars="20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33"/>
          <w:szCs w:val="33"/>
          <w:shd w:val="clear" w:fill="FFFFFF"/>
        </w:rPr>
        <w:t>关于对《江苏省房屋建筑和市政基础设施工程监理招标评标办法（试行）》进行调整的通知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3" w:lineRule="atLeast"/>
        <w:ind w:left="0" w:right="0" w:firstLine="60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30"/>
          <w:szCs w:val="30"/>
          <w:shd w:val="clear" w:fill="FFFFFF"/>
        </w:rPr>
        <w:t>苏建招办（2015） 11号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3" w:lineRule="atLeast"/>
        <w:ind w:left="0" w:right="0" w:firstLine="42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right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各省辖市招标办（处）、交易中心，苏州工业园区、张家港保税区、苏州宿迁工业园区、昆山市、泰兴市、沭阳县招标办、交易中心：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为维护正常的市场秩序，保障市场主体合法权益，防止串通涨价、恶意压价等欺诈行为，根据国家发展改革委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instrText xml:space="preserve"> HYPERLINK "http://www.xzzb.info/nd.jsp?id=85" \l "_jcp=1" \t "http://www.xzzb.info/_blank"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F67FF"/>
          <w:spacing w:val="0"/>
          <w:sz w:val="24"/>
          <w:szCs w:val="24"/>
          <w:u w:val="none"/>
          <w:shd w:val="clear" w:fill="FFFFFF"/>
        </w:rPr>
        <w:t>《关于进一步放开建设项目专业服务价格的通知》（发改价格（2015） 299号）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等规定，对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instrText xml:space="preserve"> HYPERLINK "http://www.xzzb.info/nd.jsp?id=138" \l "_jcp=1" \t "http://www.xzzb.info/_blank"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F67FF"/>
          <w:spacing w:val="0"/>
          <w:sz w:val="24"/>
          <w:szCs w:val="24"/>
          <w:u w:val="none"/>
          <w:shd w:val="clear" w:fill="FFFFFF"/>
        </w:rPr>
        <w:t>苏建招办[2014] 8号文附件七《江苏省房屋建筑和市政基础设施工程监理招标评标办法（试行）》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进行如下调整：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第六条（一）投标报价中对投标报价的评审增加下列第四种方法：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9" w:lineRule="atLeas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方法四：以有效投标文件的投标报价算术平均值为A，最高投标限价为B，则：评标基准价=A</w:t>
      </w:r>
      <w:r>
        <w:rPr>
          <w:rFonts w:ascii="Arial" w:hAnsi="Arial" w:eastAsia="微软雅黑" w:cs="Arial"/>
          <w:i w:val="0"/>
          <w:caps w:val="0"/>
          <w:color w:val="676767"/>
          <w:spacing w:val="0"/>
          <w:sz w:val="24"/>
          <w:szCs w:val="24"/>
          <w:shd w:val="clear" w:fill="FFFFFF"/>
        </w:rPr>
        <w:t>×</w:t>
      </w: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Q1+B</w:t>
      </w:r>
      <w:r>
        <w:rPr>
          <w:rFonts w:hint="default" w:ascii="Arial" w:hAnsi="Arial" w:eastAsia="微软雅黑" w:cs="Arial"/>
          <w:i w:val="0"/>
          <w:caps w:val="0"/>
          <w:color w:val="676767"/>
          <w:spacing w:val="0"/>
          <w:sz w:val="24"/>
          <w:szCs w:val="24"/>
          <w:shd w:val="clear" w:fill="FFFFFF"/>
        </w:rPr>
        <w:t>×</w:t>
      </w: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Q2</w:t>
      </w: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Q2=1-Q1，Q1的取值范围为10%，15%，20%，25%，30%；Q1值在开标前由投标人推选的代表随机抽取确定。评标价等于评标基准价的得满分；偏离评标基准价的相应扣减得分。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招标人可以参照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instrText xml:space="preserve"> HYPERLINK "http://www.xzzb.info/nd.jsp?id=141" \l "_jcp=1" \t "http://www.xzzb.info/_blank"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F67FF"/>
          <w:spacing w:val="0"/>
          <w:sz w:val="24"/>
          <w:szCs w:val="24"/>
          <w:u w:val="none"/>
          <w:shd w:val="clear" w:fill="FFFFFF"/>
        </w:rPr>
        <w:t>发改价格（2007）670号文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确定最高投标限价。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2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第六条（一）投标报价说明1中“投标报价相对评标基准价每偏离1%，扣减的分值不低于0.3分，……”调整为“投标报价相对评标基准价每偏离1%，扣减0. 1〜0. 3分，……”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第六条（一）投标报价说明3中“评标委员会在评标报告签字后，上述方法三的评标基准价不因招投标当事人质疑、投诉、复议以及其他任何情形而改变。”，调整为“评标委员会在评标报告签字后，上述方法三、方法四的评标基准价不因招投标当事人质疑、投诉、复议以及其他任何情形而改变，但评标过程中的计算错误可作调整。”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江苏省建设工程招标投标办公室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2015年9月28日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17937"/>
    <w:rsid w:val="2D516D1D"/>
    <w:rsid w:val="52C1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2019-07-12T07:34:00Z</dcterms:created>
  <dc:creator>你好846322</dc:creator>
  <cp:lastModifiedBy>你好846322</cp:lastModifiedBy>
  <dcterms:modified xsi:type="dcterms:W3CDTF">2019-08-29T09:25:33Z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