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000000"/>
          <w:sz w:val="37"/>
          <w:szCs w:val="37"/>
        </w:rPr>
      </w:pPr>
      <w:r>
        <w:rPr>
          <w:rFonts w:hint="eastAsia" w:ascii="宋体" w:hAnsi="宋体" w:eastAsia="宋体" w:cs="宋体"/>
          <w:b/>
          <w:color w:val="000000"/>
          <w:sz w:val="32"/>
          <w:szCs w:val="32"/>
        </w:rPr>
        <w:t>省招标办关于明确评委管理及电子招投标有关问题的通知</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jc w:val="center"/>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苏建招办（2015）9号</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jc w:val="left"/>
        <w:textAlignment w:val="auto"/>
        <w:rPr>
          <w:rFonts w:hint="eastAsia" w:asciiTheme="minorEastAsia" w:hAnsiTheme="minorEastAsia" w:eastAsiaTheme="minorEastAsia" w:cstheme="minorEastAsia"/>
          <w:color w:val="000000"/>
          <w:sz w:val="26"/>
          <w:szCs w:val="26"/>
        </w:rPr>
      </w:pPr>
      <w:r>
        <w:rPr>
          <w:rFonts w:hint="eastAsia" w:asciiTheme="minorEastAsia" w:hAnsiTheme="minorEastAsia" w:eastAsiaTheme="minorEastAsia" w:cstheme="minorEastAsia"/>
          <w:color w:val="000000"/>
          <w:sz w:val="26"/>
          <w:szCs w:val="26"/>
        </w:rPr>
        <w:t>各市、县(市、区)招标办（处）、交易中心：</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为进一步规范房屋建筑和市政基础设施工程招标投标监督管理，根据专家评委考核中反映的问题和近期电子招投标工作实际，经研究并报厅领导同意，现就评委考核管理和电子招投标中相关问题明确如下：</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一．关于评委考核</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1．</w:t>
      </w:r>
      <w:r>
        <w:rPr>
          <w:rFonts w:hint="eastAsia" w:asciiTheme="minorEastAsia" w:hAnsiTheme="minorEastAsia" w:eastAsiaTheme="minorEastAsia" w:cstheme="minorEastAsia"/>
          <w:color w:val="000000"/>
          <w:sz w:val="26"/>
          <w:szCs w:val="26"/>
        </w:rPr>
        <w:t>6月初开始的评委考核，因软件系统设置、功能不完善造成一些评委扣分不合理，经研究决定，对8月15日前，评委因迟到和拒绝参加评标而被系统自动扣分的记录予以清除；各招投标监管机构实施的人工扣分记录不予清除。完善后的评委考核自动扣分系统于8月15日恢复运行。</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2．</w:t>
      </w:r>
      <w:r>
        <w:rPr>
          <w:rFonts w:hint="eastAsia" w:asciiTheme="minorEastAsia" w:hAnsiTheme="minorEastAsia" w:eastAsiaTheme="minorEastAsia" w:cstheme="minorEastAsia"/>
          <w:color w:val="000000"/>
          <w:sz w:val="26"/>
          <w:szCs w:val="26"/>
        </w:rPr>
        <w:t>明确苏建规字〔2014〕3号文第二十三条第六款规定：“一年内累计12次拒绝参加评标的（包括电话无人接听、直接挂机的）扣5分”，应理解为一年内每累计12次扣5分。</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3．</w:t>
      </w:r>
      <w:r>
        <w:rPr>
          <w:rFonts w:hint="eastAsia" w:asciiTheme="minorEastAsia" w:hAnsiTheme="minorEastAsia" w:eastAsiaTheme="minorEastAsia" w:cstheme="minorEastAsia"/>
          <w:color w:val="000000"/>
          <w:sz w:val="26"/>
          <w:szCs w:val="26"/>
        </w:rPr>
        <w:t>为做好评委评标签到考核工作，有条件的市县，其评标区门禁内侧可增设刷卡器，要求评委进出评标区均需刷卡，以加强对评委进出的监管。</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对评委实行“一标一评”的日常考核是加强评委管理的重要举措，各级招投标监管机构及领导要高度重视，切实明确责任，加强检查，严格按规定实施考核扣分。</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二．统一评委抽取通知时间</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1．</w:t>
      </w:r>
      <w:r>
        <w:rPr>
          <w:rFonts w:hint="eastAsia" w:asciiTheme="minorEastAsia" w:hAnsiTheme="minorEastAsia" w:eastAsiaTheme="minorEastAsia" w:cstheme="minorEastAsia"/>
          <w:color w:val="000000"/>
          <w:sz w:val="26"/>
          <w:szCs w:val="26"/>
        </w:rPr>
        <w:t>招标人（招标代理）抽取评委时应当充分考虑各种因素，合理设置评标开始时间。一般情况下从开始抽取通知到评标开始时间的间隔，省辖市原则上不应小于1小时，县（市、区）原则上不应小于40分钟。</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2．</w:t>
      </w:r>
      <w:r>
        <w:rPr>
          <w:rFonts w:hint="eastAsia" w:asciiTheme="minorEastAsia" w:hAnsiTheme="minorEastAsia" w:eastAsiaTheme="minorEastAsia" w:cstheme="minorEastAsia"/>
          <w:color w:val="000000"/>
          <w:sz w:val="26"/>
          <w:szCs w:val="26"/>
        </w:rPr>
        <w:t>评标前补充抽取评委应当优先抽取评标专家库中的应急评委。省辖市的应急评委应从接到通知的40分钟内(县级30分钟)到达评标现场；补抽评委所需专业应急评委人数不足时，可以改抽普通评委，抽取普通评委应重新设置评标时间，时间间隔按第1条要求设置。</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3、</w:t>
      </w:r>
      <w:r>
        <w:rPr>
          <w:rFonts w:hint="eastAsia" w:asciiTheme="minorEastAsia" w:hAnsiTheme="minorEastAsia" w:eastAsiaTheme="minorEastAsia" w:cstheme="minorEastAsia"/>
          <w:color w:val="000000"/>
          <w:sz w:val="26"/>
          <w:szCs w:val="26"/>
        </w:rPr>
        <w:t>未在规定时间到达评标现场的，则记为迟到（到达评标现场的时间以交易中心的门禁签到时间为准）。</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三．关于新申报评委职称的把握</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1．</w:t>
      </w:r>
      <w:r>
        <w:rPr>
          <w:rFonts w:hint="eastAsia" w:asciiTheme="minorEastAsia" w:hAnsiTheme="minorEastAsia" w:eastAsiaTheme="minorEastAsia" w:cstheme="minorEastAsia"/>
          <w:color w:val="000000"/>
          <w:sz w:val="26"/>
          <w:szCs w:val="26"/>
        </w:rPr>
        <w:t>交通、水利、电力等专业工程类职称的专业技术人员可以申报房建市政类评委，但所报专业需提供从事与申报专业相关的业绩证明材料。</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2．</w:t>
      </w:r>
      <w:r>
        <w:rPr>
          <w:rFonts w:hint="eastAsia" w:asciiTheme="minorEastAsia" w:hAnsiTheme="minorEastAsia" w:eastAsiaTheme="minorEastAsia" w:cstheme="minorEastAsia"/>
          <w:color w:val="000000"/>
          <w:sz w:val="26"/>
          <w:szCs w:val="26"/>
        </w:rPr>
        <w:t>因电力类评委数量不足，具有高级技师证书的电力专业技术人员暂可视作工程类中级职称申报“江苏省房屋建筑和市政基础设施工程评标专家库”的电力专业评委。聘期到期后，是否续聘另行规定。</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snapToGrid w:val="0"/>
          <w:color w:val="000000"/>
          <w:sz w:val="26"/>
          <w:szCs w:val="26"/>
        </w:rPr>
        <w:t> </w:t>
      </w:r>
      <w:r>
        <w:rPr>
          <w:rFonts w:hint="eastAsia" w:asciiTheme="minorEastAsia" w:hAnsiTheme="minorEastAsia" w:cstheme="minorEastAsia"/>
          <w:snapToGrid w:val="0"/>
          <w:color w:val="000000"/>
          <w:sz w:val="26"/>
          <w:szCs w:val="26"/>
          <w:lang w:val="en-US" w:eastAsia="zh-CN"/>
        </w:rPr>
        <w:t xml:space="preserve"> </w:t>
      </w:r>
      <w:r>
        <w:rPr>
          <w:rFonts w:hint="eastAsia" w:asciiTheme="minorEastAsia" w:hAnsiTheme="minorEastAsia" w:eastAsiaTheme="minorEastAsia" w:cstheme="minorEastAsia"/>
          <w:b/>
          <w:color w:val="000000"/>
          <w:sz w:val="26"/>
          <w:szCs w:val="26"/>
        </w:rPr>
        <w:t>3．</w:t>
      </w:r>
      <w:r>
        <w:rPr>
          <w:rFonts w:hint="eastAsia" w:asciiTheme="minorEastAsia" w:hAnsiTheme="minorEastAsia" w:eastAsiaTheme="minorEastAsia" w:cstheme="minorEastAsia"/>
          <w:color w:val="000000"/>
          <w:sz w:val="26"/>
          <w:szCs w:val="26"/>
        </w:rPr>
        <w:t>具有经济师、高级经济师、审计师、高级审计师职称专业技术人员，同时具备注册造价工程师的可申报“江苏省房屋建筑和市政基础设施工程评标专家库”经济类评委。</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4．</w:t>
      </w:r>
      <w:r>
        <w:rPr>
          <w:rFonts w:hint="eastAsia" w:asciiTheme="minorEastAsia" w:hAnsiTheme="minorEastAsia" w:eastAsiaTheme="minorEastAsia" w:cstheme="minorEastAsia"/>
          <w:color w:val="000000"/>
          <w:sz w:val="26"/>
          <w:szCs w:val="26"/>
        </w:rPr>
        <w:t>考虑经济类评委的特殊性，各地审核中注意把握申报工程造价专业评委一般应具有注册造价工程师或中级及以上造价员资格，无上述资格者要有八年以上从事工程造价编审的经历和足够的业绩证明材料。</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5．</w:t>
      </w:r>
      <w:r>
        <w:rPr>
          <w:rFonts w:hint="eastAsia" w:asciiTheme="minorEastAsia" w:hAnsiTheme="minorEastAsia" w:eastAsiaTheme="minorEastAsia" w:cstheme="minorEastAsia"/>
          <w:color w:val="000000"/>
          <w:sz w:val="26"/>
          <w:szCs w:val="26"/>
        </w:rPr>
        <w:t>具有教育系统相关专业教授、副教授、讲师职称的高校教师申报专家评委，需要提供所从事专业教学与所申报专业相关的证明材料。</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6．</w:t>
      </w:r>
      <w:r>
        <w:rPr>
          <w:rFonts w:hint="eastAsia" w:asciiTheme="minorEastAsia" w:hAnsiTheme="minorEastAsia" w:eastAsiaTheme="minorEastAsia" w:cstheme="minorEastAsia"/>
          <w:color w:val="000000"/>
          <w:sz w:val="26"/>
          <w:szCs w:val="26"/>
        </w:rPr>
        <w:t>职称证书一般以人社部门颁发的证书为准。对于江苏省建设工程系列技术职称，省级评定高级职称，省辖市评定中级职称。其中南京、苏州、无锡、常州、镇江有评定副高级职称的资格。除启东、海门两个县级市评定的建设工程系列中级职称外，其他县（市）评定的中级职称在申报评标专家中不予承认。</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外省市职称比照省级评定高级职称、地级市评定中级职称认定；央企、省部级企业有评定职称资格的，需提供该企业人事主管部门出具的证明材料及专业技术资格评审申报表。</w:t>
      </w:r>
    </w:p>
    <w:p>
      <w:pPr>
        <w:pStyle w:val="4"/>
        <w:keepNext w:val="0"/>
        <w:keepLines w:val="0"/>
        <w:pageBreakBefore w:val="0"/>
        <w:widowControl/>
        <w:suppressLineNumbers w:val="0"/>
        <w:kinsoku/>
        <w:wordWrap/>
        <w:overflowPunct/>
        <w:topLinePunct w:val="0"/>
        <w:autoSpaceDE/>
        <w:autoSpaceDN/>
        <w:bidi w:val="0"/>
        <w:adjustRightInd/>
        <w:snapToGrid w:val="0"/>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7．</w:t>
      </w:r>
      <w:r>
        <w:rPr>
          <w:rFonts w:hint="eastAsia" w:asciiTheme="minorEastAsia" w:hAnsiTheme="minorEastAsia" w:eastAsiaTheme="minorEastAsia" w:cstheme="minorEastAsia"/>
          <w:color w:val="000000"/>
          <w:sz w:val="26"/>
          <w:szCs w:val="26"/>
        </w:rPr>
        <w:t>目前库中暂未培训、考试人员的处理方法。各市、县（市、区）可通知此类人员按新标准补齐相关材料，于两年内参加培训、考试，过期则需要重新申报。</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四．进一步规范电子招投标</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1．</w:t>
      </w:r>
      <w:r>
        <w:rPr>
          <w:rFonts w:hint="eastAsia" w:asciiTheme="minorEastAsia" w:hAnsiTheme="minorEastAsia" w:eastAsiaTheme="minorEastAsia" w:cstheme="minorEastAsia"/>
          <w:color w:val="000000"/>
          <w:sz w:val="26"/>
          <w:szCs w:val="26"/>
        </w:rPr>
        <w:t>为规范监理、材料设备招投标，凡采用综合评估法评标的监理项目、采用综合评估法且含有方案评审的材料设备项目，除需要提供样品等无法远程评标外，原则上应实行省级平台的远程异地评标。</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2．</w:t>
      </w:r>
      <w:r>
        <w:rPr>
          <w:rFonts w:hint="eastAsia" w:asciiTheme="minorEastAsia" w:hAnsiTheme="minorEastAsia" w:eastAsiaTheme="minorEastAsia" w:cstheme="minorEastAsia"/>
          <w:color w:val="000000"/>
          <w:sz w:val="26"/>
          <w:szCs w:val="26"/>
        </w:rPr>
        <w:t>各地应进一步解放思想、实事求是，采用单因素方式（经评审的最低价法、合理低价法、合理价随机抽取法）评标的不得要求投标人编制施工组织设计。工程项目有特殊工艺要求的，可有针对性地编制专项施工方案。</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3．</w:t>
      </w:r>
      <w:r>
        <w:rPr>
          <w:rFonts w:hint="eastAsia" w:asciiTheme="minorEastAsia" w:hAnsiTheme="minorEastAsia" w:eastAsiaTheme="minorEastAsia" w:cstheme="minorEastAsia"/>
          <w:color w:val="000000"/>
          <w:sz w:val="26"/>
          <w:szCs w:val="26"/>
        </w:rPr>
        <w:t>小型工程招标使用抽签法的应采用苏建规字（2013）4号文规定做法，招标人应在网上发布招标文件，投标人应当根据招标文件要求编制简易投标文件或投标函由网上递交。</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4．</w:t>
      </w:r>
      <w:r>
        <w:rPr>
          <w:rFonts w:hint="eastAsia" w:asciiTheme="minorEastAsia" w:hAnsiTheme="minorEastAsia" w:eastAsiaTheme="minorEastAsia" w:cstheme="minorEastAsia"/>
          <w:color w:val="000000"/>
          <w:sz w:val="26"/>
          <w:szCs w:val="26"/>
        </w:rPr>
        <w:t>各地电子招投标系统和评标系统中增加评委回避确认环节，所有评委须确认本人是否需要回避后方可开始评标。</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5</w:t>
      </w:r>
      <w:r>
        <w:rPr>
          <w:rFonts w:hint="eastAsia" w:asciiTheme="minorEastAsia" w:hAnsiTheme="minorEastAsia" w:eastAsiaTheme="minorEastAsia" w:cstheme="minorEastAsia"/>
          <w:b/>
          <w:color w:val="000000"/>
          <w:sz w:val="26"/>
          <w:szCs w:val="26"/>
        </w:rPr>
        <w:t>．</w:t>
      </w:r>
      <w:r>
        <w:rPr>
          <w:rFonts w:hint="eastAsia" w:asciiTheme="minorEastAsia" w:hAnsiTheme="minorEastAsia" w:eastAsiaTheme="minorEastAsia" w:cstheme="minorEastAsia"/>
          <w:color w:val="000000"/>
          <w:sz w:val="26"/>
          <w:szCs w:val="26"/>
        </w:rPr>
        <w:t>资格后审项目的资格审查所有评委（含副场评委）均应参与，具体分组由评标委员会负责人根据招标项目的实际情况确定，但每组不得少于2人。</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6．</w:t>
      </w:r>
      <w:r>
        <w:rPr>
          <w:rFonts w:hint="eastAsia" w:asciiTheme="minorEastAsia" w:hAnsiTheme="minorEastAsia" w:eastAsiaTheme="minorEastAsia" w:cstheme="minorEastAsia"/>
          <w:color w:val="000000"/>
          <w:sz w:val="26"/>
          <w:szCs w:val="26"/>
        </w:rPr>
        <w:t>2013年4月，住房城乡建设部工商总局印发了《建设工程施工合同（示范文本）》（GF-2013-0201），要求于2013年7月1日起执行，但目前我省仍不少市县尚未使用。为进一步加强合同管理，各地要抓紧修改电子招投标招标文件范本，</w:t>
      </w:r>
      <w:r>
        <w:rPr>
          <w:rFonts w:hint="eastAsia" w:asciiTheme="minorEastAsia" w:hAnsiTheme="minorEastAsia" w:eastAsiaTheme="minorEastAsia" w:cstheme="minorEastAsia"/>
          <w:color w:val="000000"/>
          <w:sz w:val="26"/>
          <w:szCs w:val="26"/>
          <w:highlight w:val="yellow"/>
        </w:rPr>
        <w:t>10月1日起，全省房屋建筑和市政基础设施施工工程统一使用《建设工程施工合同（示范文本）》（GB－2013－0201），监理工程统一使用《建设工程监理合同（示范文本）》（GF－2012－0202）。</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7．</w:t>
      </w:r>
      <w:r>
        <w:rPr>
          <w:rFonts w:hint="eastAsia" w:asciiTheme="minorEastAsia" w:hAnsiTheme="minorEastAsia" w:eastAsiaTheme="minorEastAsia" w:cstheme="minorEastAsia"/>
          <w:color w:val="000000"/>
          <w:sz w:val="26"/>
          <w:szCs w:val="26"/>
        </w:rPr>
        <w:t>因系统开发问题，原定于7月1日起在全省实行的技术标暗标和横向评审制，推迟到8月20日起实行。各级招标办、交易中心要高度重视，采取措施，全面实行。</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五．改进电子招投标技术保障</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1．</w:t>
      </w:r>
      <w:r>
        <w:rPr>
          <w:rFonts w:hint="eastAsia" w:asciiTheme="minorEastAsia" w:hAnsiTheme="minorEastAsia" w:eastAsiaTheme="minorEastAsia" w:cstheme="minorEastAsia"/>
          <w:color w:val="000000"/>
          <w:sz w:val="26"/>
          <w:szCs w:val="26"/>
        </w:rPr>
        <w:t>目前一些绿化、装饰等工程投标人过多，为解决解密慢、开标时间长的问题，各地应允许投标人开标后在网上在线解密，可试行开标后在交易中心现场解密、投标人在网上解密并行的做法；交易中心现场解密可由招标代理或投标人自行携带笔记本电脑进行解密，也可采用移动式解密机与固定计算机在现场同时解密。</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2．</w:t>
      </w:r>
      <w:r>
        <w:rPr>
          <w:rFonts w:hint="eastAsia" w:asciiTheme="minorEastAsia" w:hAnsiTheme="minorEastAsia" w:eastAsiaTheme="minorEastAsia" w:cstheme="minorEastAsia"/>
          <w:color w:val="000000"/>
          <w:sz w:val="26"/>
          <w:szCs w:val="26"/>
        </w:rPr>
        <w:t>为保证电子招投标档案的完整性，电子招投标项目，招标人评委应持临时CA锁评标并签章。具体程序为:</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（1）授权委托人或申请人在开标前1-2个工作日内持甲方同意的“电子签章”申请表（见附件1）、身份证复印件到项目所在地招标办或交易中心备案，申请办理临时CA签章。</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（2）备案受理后，将申请表交省辖市江苏CA办理点(或有CA签章服务点的县)工作人员，缴纳押金，由江苏CA和“翔晟”签章现场人员当即办理评委临时CA证书和个人签章。</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0"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（3）办理CA签章免费，但须交纳200元押金，评完标后一周内将CA签章锁交回办理点，凭押金单退还押金。</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3．</w:t>
      </w:r>
      <w:r>
        <w:rPr>
          <w:rFonts w:hint="eastAsia" w:asciiTheme="minorEastAsia" w:hAnsiTheme="minorEastAsia" w:eastAsiaTheme="minorEastAsia" w:cstheme="minorEastAsia"/>
          <w:color w:val="000000"/>
          <w:sz w:val="26"/>
          <w:szCs w:val="26"/>
        </w:rPr>
        <w:t>为方便评标，保证质量，采用工程量清单计价的非电子招标项目，招标人应当采用招标文件制作工具编制工程量清单；投标人应当采用投标文件制作工具编制投标报价文件；清单和报价文件应符合《江苏省建设工程招投标数据交换标准（V3.0）》格式。投标报价文件的提交可采用光盘或网上递交，具体方法在招标文件中明确。开标时由工作人员导入开评标系统进行开标，评标时用电子评标系统进行清标。</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firstLine="522" w:firstLineChars="20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4、</w:t>
      </w:r>
      <w:r>
        <w:rPr>
          <w:rFonts w:hint="eastAsia" w:asciiTheme="minorEastAsia" w:hAnsiTheme="minorEastAsia" w:eastAsiaTheme="minorEastAsia" w:cstheme="minorEastAsia"/>
          <w:color w:val="000000"/>
          <w:sz w:val="26"/>
          <w:szCs w:val="26"/>
        </w:rPr>
        <w:t>确保5.0系统安全运行是推进电子招投标工作的重要环节和首要工作，各级招标办、交易中心务必高度重视。要认真落实《电子招标投标办法》（8部委令第20号）和《江苏省建设工程招标投标信息系统安全管理规定》要求，定期检查完善安全管理制度、技术保障措施。目前有独立电子招投标系统市、县（区）应在9月30日前配备专（兼）职系统安全管理员，系统安全管理员应定期对服务器软硬件进行巡检、并实施审计管理。各电子招投标系统均应在11月30日前配置独立的安全审计模块，对系统进行安全审计管理。有电子招投标系统的市、县（区）需每年组织第三方检测机构（见附件2）对系统进行信息安全检测，由安全管理人员对检测发现的问题进行记录、跟踪并督促相关单位进行整改，除定期年检外，系统作了较大修改后也应及时进行安全检测。</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jc w:val="righ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江苏省建设工程招标投标办公室</w:t>
      </w:r>
    </w:p>
    <w:p>
      <w:pPr>
        <w:pStyle w:val="4"/>
        <w:keepNext w:val="0"/>
        <w:keepLines w:val="0"/>
        <w:pageBreakBefore w:val="0"/>
        <w:widowControl/>
        <w:suppressLineNumbers w:val="0"/>
        <w:kinsoku/>
        <w:wordWrap/>
        <w:overflowPunct/>
        <w:topLinePunct w:val="0"/>
        <w:autoSpaceDE/>
        <w:autoSpaceDN/>
        <w:bidi w:val="0"/>
        <w:adjustRightInd/>
        <w:spacing w:line="360" w:lineRule="auto"/>
        <w:ind w:left="0"/>
        <w:jc w:val="right"/>
        <w:textAlignment w:val="auto"/>
        <w:rPr>
          <w:rFonts w:hint="eastAsia" w:asciiTheme="minorEastAsia" w:hAnsiTheme="minorEastAsia" w:eastAsiaTheme="minorEastAsia" w:cstheme="minorEastAsia"/>
          <w:color w:val="000000"/>
          <w:sz w:val="26"/>
          <w:szCs w:val="26"/>
        </w:rPr>
      </w:pPr>
      <w:r>
        <w:rPr>
          <w:rFonts w:hint="eastAsia" w:asciiTheme="minorEastAsia" w:hAnsiTheme="minorEastAsia" w:eastAsiaTheme="minorEastAsia" w:cstheme="minorEastAsia"/>
          <w:color w:val="000000"/>
          <w:sz w:val="26"/>
          <w:szCs w:val="26"/>
        </w:rPr>
        <w:t>2015年8月18日</w:t>
      </w:r>
    </w:p>
    <w:p>
      <w:pPr>
        <w:rPr>
          <w:rFonts w:hint="eastAsia" w:asciiTheme="minorEastAsia" w:hAnsiTheme="minorEastAsia" w:eastAsiaTheme="minorEastAsia" w:cstheme="minorEastAsia"/>
          <w:color w:val="000000"/>
          <w:sz w:val="26"/>
          <w:szCs w:val="26"/>
        </w:rPr>
      </w:pPr>
      <w:r>
        <w:rPr>
          <w:rFonts w:hint="eastAsia" w:asciiTheme="minorEastAsia" w:hAnsiTheme="minorEastAsia" w:eastAsiaTheme="minorEastAsia" w:cstheme="minorEastAsia"/>
          <w:color w:val="000000"/>
          <w:sz w:val="26"/>
          <w:szCs w:val="26"/>
        </w:rPr>
        <w:br w:type="page"/>
      </w:r>
    </w:p>
    <w:p>
      <w:pPr>
        <w:keepNext w:val="0"/>
        <w:keepLines w:val="0"/>
        <w:widowControl/>
        <w:suppressLineNumbers w:val="0"/>
        <w:shd w:val="clear" w:fill="FFFFFF"/>
        <w:spacing w:line="560" w:lineRule="atLeast"/>
        <w:ind w:left="0" w:firstLine="0"/>
        <w:jc w:val="left"/>
        <w:rPr>
          <w:rFonts w:ascii="微软雅黑" w:hAnsi="微软雅黑" w:eastAsia="微软雅黑" w:cs="微软雅黑"/>
          <w:i w:val="0"/>
          <w:caps w:val="0"/>
          <w:color w:val="000000"/>
          <w:spacing w:val="0"/>
          <w:sz w:val="18"/>
          <w:szCs w:val="18"/>
        </w:rPr>
      </w:pPr>
      <w:bookmarkStart w:id="0" w:name="_GoBack"/>
      <w:bookmarkEnd w:id="0"/>
      <w:r>
        <w:rPr>
          <w:rFonts w:ascii="仿宋_GB2312" w:hAnsi="微软雅黑" w:eastAsia="仿宋_GB2312" w:cs="仿宋_GB2312"/>
          <w:i w:val="0"/>
          <w:caps w:val="0"/>
          <w:color w:val="000000"/>
          <w:spacing w:val="0"/>
          <w:kern w:val="0"/>
          <w:sz w:val="32"/>
          <w:szCs w:val="32"/>
          <w:shd w:val="clear" w:fill="FFFFFF"/>
          <w:lang w:val="en-US" w:eastAsia="zh-CN" w:bidi="ar"/>
        </w:rPr>
        <w:t>附件一</w:t>
      </w:r>
    </w:p>
    <w:p>
      <w:pPr>
        <w:keepNext w:val="0"/>
        <w:keepLines w:val="0"/>
        <w:widowControl/>
        <w:suppressLineNumbers w:val="0"/>
        <w:shd w:val="clear" w:fill="FFFFFF"/>
        <w:spacing w:line="560" w:lineRule="atLeast"/>
        <w:ind w:left="0" w:firstLine="0"/>
        <w:jc w:val="center"/>
        <w:rPr>
          <w:rFonts w:hint="eastAsia" w:ascii="微软雅黑" w:hAnsi="微软雅黑" w:eastAsia="微软雅黑" w:cs="微软雅黑"/>
          <w:i w:val="0"/>
          <w:caps w:val="0"/>
          <w:color w:val="000000"/>
          <w:spacing w:val="0"/>
          <w:sz w:val="18"/>
          <w:szCs w:val="18"/>
        </w:rPr>
      </w:pPr>
      <w:r>
        <w:rPr>
          <w:rFonts w:ascii="方正小标宋简体" w:hAnsi="方正小标宋简体" w:eastAsia="方正小标宋简体" w:cs="方正小标宋简体"/>
          <w:i w:val="0"/>
          <w:caps w:val="0"/>
          <w:color w:val="000000"/>
          <w:spacing w:val="0"/>
          <w:kern w:val="0"/>
          <w:sz w:val="36"/>
          <w:szCs w:val="36"/>
          <w:shd w:val="clear" w:fill="FFFFFF"/>
          <w:lang w:val="en-US" w:eastAsia="zh-CN" w:bidi="ar"/>
        </w:rPr>
        <w:t>甲</w:t>
      </w:r>
      <w:r>
        <w:rPr>
          <w:rFonts w:hint="default" w:ascii="Times New Roman" w:hAnsi="Times New Roman" w:eastAsia="微软雅黑" w:cs="Times New Roman"/>
          <w:i w:val="0"/>
          <w:caps w:val="0"/>
          <w:color w:val="000000"/>
          <w:spacing w:val="0"/>
          <w:kern w:val="0"/>
          <w:sz w:val="36"/>
          <w:szCs w:val="36"/>
          <w:shd w:val="clear" w:fill="FFFFFF"/>
          <w:lang w:val="en-US" w:eastAsia="zh-CN" w:bidi="ar"/>
        </w:rPr>
        <w:t>方评委临时CA</w:t>
      </w:r>
      <w:r>
        <w:rPr>
          <w:rFonts w:hint="default" w:ascii="方正小标宋简体" w:hAnsi="方正小标宋简体" w:eastAsia="方正小标宋简体" w:cs="方正小标宋简体"/>
          <w:i w:val="0"/>
          <w:caps w:val="0"/>
          <w:color w:val="000000"/>
          <w:spacing w:val="0"/>
          <w:kern w:val="0"/>
          <w:sz w:val="36"/>
          <w:szCs w:val="36"/>
          <w:shd w:val="clear" w:fill="FFFFFF"/>
          <w:lang w:val="en-US" w:eastAsia="zh-CN" w:bidi="ar"/>
        </w:rPr>
        <w:t>签章办理申请表</w:t>
      </w:r>
    </w:p>
    <w:tbl>
      <w:tblPr>
        <w:tblW w:w="969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9"/>
        <w:gridCol w:w="1435"/>
        <w:gridCol w:w="717"/>
        <w:gridCol w:w="770"/>
        <w:gridCol w:w="1316"/>
        <w:gridCol w:w="1438"/>
        <w:gridCol w:w="2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9" w:hRule="atLeast"/>
        </w:trPr>
        <w:tc>
          <w:tcPr>
            <w:tcW w:w="1539" w:type="dxa"/>
            <w:tcBorders>
              <w:top w:val="double" w:color="auto" w:sz="6" w:space="0"/>
              <w:left w:val="double" w:color="auto" w:sz="6"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项目名称</w:t>
            </w:r>
          </w:p>
        </w:tc>
        <w:tc>
          <w:tcPr>
            <w:tcW w:w="8153" w:type="dxa"/>
            <w:gridSpan w:val="6"/>
            <w:tcBorders>
              <w:top w:val="double" w:color="auto" w:sz="6" w:space="0"/>
              <w:left w:val="nil"/>
              <w:bottom w:val="single" w:color="auto" w:sz="4"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9" w:hRule="atLeast"/>
        </w:trPr>
        <w:tc>
          <w:tcPr>
            <w:tcW w:w="1539" w:type="dxa"/>
            <w:tcBorders>
              <w:top w:val="nil"/>
              <w:left w:val="double" w:color="auto" w:sz="6" w:space="0"/>
              <w:bottom w:val="single" w:color="auto" w:sz="2"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项目地点</w:t>
            </w:r>
          </w:p>
        </w:tc>
        <w:tc>
          <w:tcPr>
            <w:tcW w:w="8153" w:type="dxa"/>
            <w:gridSpan w:val="6"/>
            <w:tcBorders>
              <w:top w:val="nil"/>
              <w:left w:val="nil"/>
              <w:bottom w:val="single" w:color="auto" w:sz="2"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市、县（区）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539" w:type="dxa"/>
            <w:tcBorders>
              <w:top w:val="single" w:color="auto" w:sz="4" w:space="0"/>
              <w:left w:val="double" w:color="auto" w:sz="6" w:space="0"/>
              <w:bottom w:val="single" w:color="auto" w:sz="2"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印章类型</w:t>
            </w:r>
          </w:p>
        </w:tc>
        <w:tc>
          <w:tcPr>
            <w:tcW w:w="1435" w:type="dxa"/>
            <w:tcBorders>
              <w:top w:val="single" w:color="auto" w:sz="4" w:space="0"/>
              <w:left w:val="nil"/>
              <w:bottom w:val="single" w:color="auto" w:sz="2"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扫描章</w:t>
            </w:r>
          </w:p>
        </w:tc>
        <w:tc>
          <w:tcPr>
            <w:tcW w:w="1487" w:type="dxa"/>
            <w:gridSpan w:val="2"/>
            <w:tcBorders>
              <w:top w:val="single" w:color="auto" w:sz="4" w:space="0"/>
              <w:left w:val="nil"/>
              <w:bottom w:val="single" w:color="auto" w:sz="2"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办理数量</w:t>
            </w:r>
          </w:p>
        </w:tc>
        <w:tc>
          <w:tcPr>
            <w:tcW w:w="1316" w:type="dxa"/>
            <w:tcBorders>
              <w:top w:val="single" w:color="auto" w:sz="4" w:space="0"/>
              <w:left w:val="nil"/>
              <w:bottom w:val="single" w:color="auto"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1个</w:t>
            </w:r>
          </w:p>
        </w:tc>
        <w:tc>
          <w:tcPr>
            <w:tcW w:w="1438" w:type="dxa"/>
            <w:tcBorders>
              <w:top w:val="single" w:color="auto" w:sz="4" w:space="0"/>
              <w:left w:val="nil"/>
              <w:bottom w:val="single" w:color="auto"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办理时效</w:t>
            </w:r>
          </w:p>
        </w:tc>
        <w:tc>
          <w:tcPr>
            <w:tcW w:w="2477" w:type="dxa"/>
            <w:tcBorders>
              <w:top w:val="single" w:color="auto" w:sz="4" w:space="0"/>
              <w:left w:val="nil"/>
              <w:bottom w:val="single" w:color="auto" w:sz="4"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210"/>
              <w:jc w:val="center"/>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临时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3" w:hRule="atLeast"/>
        </w:trPr>
        <w:tc>
          <w:tcPr>
            <w:tcW w:w="1539" w:type="dxa"/>
            <w:vMerge w:val="restart"/>
            <w:tcBorders>
              <w:top w:val="single" w:color="auto" w:sz="4" w:space="0"/>
              <w:left w:val="double" w:color="auto" w:sz="6" w:space="0"/>
              <w:bottom w:val="single" w:color="auto" w:sz="2"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甲方评委信息</w:t>
            </w:r>
          </w:p>
        </w:tc>
        <w:tc>
          <w:tcPr>
            <w:tcW w:w="2152" w:type="dxa"/>
            <w:gridSpan w:val="2"/>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申请人姓名</w:t>
            </w:r>
          </w:p>
        </w:tc>
        <w:tc>
          <w:tcPr>
            <w:tcW w:w="6001" w:type="dxa"/>
            <w:gridSpan w:val="4"/>
            <w:tcBorders>
              <w:top w:val="single" w:color="auto" w:sz="4" w:space="0"/>
              <w:left w:val="nil"/>
              <w:bottom w:val="single" w:color="auto" w:sz="2"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2" w:hRule="atLeast"/>
        </w:trPr>
        <w:tc>
          <w:tcPr>
            <w:tcW w:w="1539" w:type="dxa"/>
            <w:vMerge w:val="continue"/>
            <w:tcBorders>
              <w:top w:val="single" w:color="auto" w:sz="4" w:space="0"/>
              <w:left w:val="double" w:color="auto" w:sz="6" w:space="0"/>
              <w:bottom w:val="single" w:color="auto" w:sz="2" w:space="0"/>
              <w:right w:val="single" w:color="auto" w:sz="4" w:space="0"/>
            </w:tcBorders>
            <w:shd w:val="clear"/>
            <w:tcMar>
              <w:top w:w="0" w:type="dxa"/>
              <w:left w:w="108" w:type="dxa"/>
              <w:bottom w:w="0" w:type="dxa"/>
              <w:right w:w="108" w:type="dxa"/>
            </w:tcMar>
            <w:vAlign w:val="center"/>
          </w:tcPr>
          <w:p>
            <w:pPr>
              <w:rPr>
                <w:rFonts w:hint="eastAsia" w:ascii="宋体"/>
                <w:color w:val="000000"/>
                <w:sz w:val="18"/>
                <w:szCs w:val="18"/>
              </w:rPr>
            </w:pPr>
          </w:p>
        </w:tc>
        <w:tc>
          <w:tcPr>
            <w:tcW w:w="2152"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申请人身份证号码</w:t>
            </w:r>
          </w:p>
        </w:tc>
        <w:tc>
          <w:tcPr>
            <w:tcW w:w="6001" w:type="dxa"/>
            <w:gridSpan w:val="4"/>
            <w:tcBorders>
              <w:top w:val="nil"/>
              <w:left w:val="nil"/>
              <w:bottom w:val="single" w:color="auto" w:sz="4"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539" w:type="dxa"/>
            <w:vMerge w:val="continue"/>
            <w:tcBorders>
              <w:top w:val="single" w:color="auto" w:sz="4" w:space="0"/>
              <w:left w:val="double" w:color="auto" w:sz="6" w:space="0"/>
              <w:bottom w:val="single" w:color="auto" w:sz="2" w:space="0"/>
              <w:right w:val="single" w:color="auto" w:sz="4" w:space="0"/>
            </w:tcBorders>
            <w:shd w:val="clear"/>
            <w:tcMar>
              <w:top w:w="0" w:type="dxa"/>
              <w:left w:w="108" w:type="dxa"/>
              <w:bottom w:w="0" w:type="dxa"/>
              <w:right w:w="108" w:type="dxa"/>
            </w:tcMar>
            <w:vAlign w:val="center"/>
          </w:tcPr>
          <w:p>
            <w:pPr>
              <w:rPr>
                <w:rFonts w:hint="eastAsia" w:ascii="宋体"/>
                <w:color w:val="000000"/>
                <w:sz w:val="18"/>
                <w:szCs w:val="18"/>
              </w:rPr>
            </w:pPr>
          </w:p>
        </w:tc>
        <w:tc>
          <w:tcPr>
            <w:tcW w:w="2152"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经办人姓名</w:t>
            </w:r>
          </w:p>
        </w:tc>
        <w:tc>
          <w:tcPr>
            <w:tcW w:w="6001" w:type="dxa"/>
            <w:gridSpan w:val="4"/>
            <w:tcBorders>
              <w:top w:val="nil"/>
              <w:left w:val="nil"/>
              <w:bottom w:val="single" w:color="auto" w:sz="4"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39" w:type="dxa"/>
            <w:vMerge w:val="continue"/>
            <w:tcBorders>
              <w:top w:val="single" w:color="auto" w:sz="4" w:space="0"/>
              <w:left w:val="double" w:color="auto" w:sz="6" w:space="0"/>
              <w:bottom w:val="single" w:color="auto" w:sz="2" w:space="0"/>
              <w:right w:val="single" w:color="auto" w:sz="4" w:space="0"/>
            </w:tcBorders>
            <w:shd w:val="clear"/>
            <w:tcMar>
              <w:top w:w="0" w:type="dxa"/>
              <w:left w:w="108" w:type="dxa"/>
              <w:bottom w:w="0" w:type="dxa"/>
              <w:right w:w="108" w:type="dxa"/>
            </w:tcMar>
            <w:vAlign w:val="center"/>
          </w:tcPr>
          <w:p>
            <w:pPr>
              <w:rPr>
                <w:rFonts w:hint="eastAsia" w:ascii="宋体"/>
                <w:color w:val="000000"/>
                <w:sz w:val="18"/>
                <w:szCs w:val="18"/>
              </w:rPr>
            </w:pPr>
          </w:p>
        </w:tc>
        <w:tc>
          <w:tcPr>
            <w:tcW w:w="2152"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经办人身份证号码</w:t>
            </w:r>
          </w:p>
        </w:tc>
        <w:tc>
          <w:tcPr>
            <w:tcW w:w="6001" w:type="dxa"/>
            <w:gridSpan w:val="4"/>
            <w:tcBorders>
              <w:top w:val="nil"/>
              <w:left w:val="nil"/>
              <w:bottom w:val="single" w:color="auto" w:sz="4"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39" w:type="dxa"/>
            <w:vMerge w:val="continue"/>
            <w:tcBorders>
              <w:top w:val="single" w:color="auto" w:sz="4" w:space="0"/>
              <w:left w:val="double" w:color="auto" w:sz="6" w:space="0"/>
              <w:bottom w:val="single" w:color="auto" w:sz="2" w:space="0"/>
              <w:right w:val="single" w:color="auto" w:sz="4" w:space="0"/>
            </w:tcBorders>
            <w:shd w:val="clear"/>
            <w:tcMar>
              <w:top w:w="0" w:type="dxa"/>
              <w:left w:w="108" w:type="dxa"/>
              <w:bottom w:w="0" w:type="dxa"/>
              <w:right w:w="108" w:type="dxa"/>
            </w:tcMar>
            <w:vAlign w:val="center"/>
          </w:tcPr>
          <w:p>
            <w:pPr>
              <w:rPr>
                <w:rFonts w:hint="eastAsia" w:ascii="宋体"/>
                <w:color w:val="000000"/>
                <w:sz w:val="18"/>
                <w:szCs w:val="18"/>
              </w:rPr>
            </w:pPr>
          </w:p>
        </w:tc>
        <w:tc>
          <w:tcPr>
            <w:tcW w:w="2152"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经办人手机号码</w:t>
            </w:r>
          </w:p>
        </w:tc>
        <w:tc>
          <w:tcPr>
            <w:tcW w:w="208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 </w:t>
            </w:r>
          </w:p>
        </w:tc>
        <w:tc>
          <w:tcPr>
            <w:tcW w:w="143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经办人邮箱</w:t>
            </w:r>
          </w:p>
        </w:tc>
        <w:tc>
          <w:tcPr>
            <w:tcW w:w="2477" w:type="dxa"/>
            <w:tcBorders>
              <w:top w:val="single" w:color="auto" w:sz="4" w:space="0"/>
              <w:left w:val="nil"/>
              <w:bottom w:val="single" w:color="auto" w:sz="4"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6" w:hRule="atLeast"/>
        </w:trPr>
        <w:tc>
          <w:tcPr>
            <w:tcW w:w="1539" w:type="dxa"/>
            <w:tcBorders>
              <w:top w:val="nil"/>
              <w:left w:val="double" w:color="auto" w:sz="6"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授权委托</w:t>
            </w:r>
          </w:p>
        </w:tc>
        <w:tc>
          <w:tcPr>
            <w:tcW w:w="8153" w:type="dxa"/>
            <w:gridSpan w:val="6"/>
            <w:tcBorders>
              <w:top w:val="nil"/>
              <w:left w:val="nil"/>
              <w:bottom w:val="single" w:color="auto" w:sz="4" w:space="0"/>
              <w:right w:val="double" w:color="auto" w:sz="6"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13" w:firstLine="420"/>
              <w:jc w:val="left"/>
              <w:rPr>
                <w:color w:val="000000"/>
                <w:sz w:val="18"/>
                <w:szCs w:val="18"/>
              </w:rPr>
            </w:pPr>
            <w:r>
              <w:rPr>
                <w:rFonts w:hint="default" w:ascii="Times New Roman" w:hAnsi="Times New Roman" w:eastAsia="宋体" w:cs="Times New Roman"/>
                <w:color w:val="000000"/>
                <w:kern w:val="0"/>
                <w:sz w:val="21"/>
                <w:szCs w:val="21"/>
                <w:lang w:val="en-US" w:eastAsia="zh-CN" w:bidi="ar"/>
              </w:rPr>
              <w:t>现授权___  _____（身份证号码：_______________________________）为单位合法代理人，办理江苏省建设工程交易中心电子招投标系统“CA签章”相关事宜。本单位承认该代表在办理江苏省建设工程交易中心网上招投标系统CA证书及电子签章相关事宜过程中所签署、提交的相关文件、材料是无误、合法有效的。</w:t>
            </w:r>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10" w:hanging="10"/>
              <w:jc w:val="left"/>
              <w:rPr>
                <w:color w:val="000000"/>
                <w:sz w:val="18"/>
                <w:szCs w:val="18"/>
              </w:rPr>
            </w:pPr>
            <w:r>
              <w:rPr>
                <w:rFonts w:hint="default" w:ascii="Times New Roman" w:hAnsi="Times New Roman" w:eastAsia="宋体" w:cs="Times New Roman"/>
                <w:color w:val="00000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1"/>
                <w:szCs w:val="21"/>
                <w:bdr w:val="none" w:color="auto" w:sz="0" w:space="0"/>
                <w:lang w:val="en-US" w:eastAsia="zh-CN" w:bidi="ar"/>
              </w:rPr>
              <w:t>申请单位盖章：</w:t>
            </w:r>
            <w:r>
              <w:rPr>
                <w:rFonts w:hint="eastAsia" w:ascii="宋体" w:hAnsi="宋体" w:eastAsia="宋体" w:cs="宋体"/>
                <w:color w:val="000000"/>
                <w:kern w:val="0"/>
                <w:sz w:val="21"/>
                <w:szCs w:val="21"/>
                <w:bdr w:val="none" w:color="auto" w:sz="0" w:space="0"/>
                <w:lang w:val="en-US" w:eastAsia="zh-CN" w:bidi="ar"/>
              </w:rPr>
              <w:t>            </w:t>
            </w:r>
            <w:r>
              <w:rPr>
                <w:rFonts w:hint="default" w:ascii="Times New Roman" w:hAnsi="Times New Roman" w:eastAsia="宋体" w:cs="Times New Roman"/>
                <w:color w:val="000000"/>
                <w:kern w:val="0"/>
                <w:sz w:val="21"/>
                <w:szCs w:val="21"/>
                <w:bdr w:val="none" w:color="auto" w:sz="0" w:space="0"/>
                <w:lang w:val="en-US" w:eastAsia="zh-CN" w:bidi="ar"/>
              </w:rPr>
              <w:t>被授权人签名：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1" w:hRule="atLeast"/>
        </w:trPr>
        <w:tc>
          <w:tcPr>
            <w:tcW w:w="1539" w:type="dxa"/>
            <w:tcBorders>
              <w:top w:val="nil"/>
              <w:left w:val="double" w:color="auto" w:sz="6"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签章采集</w:t>
            </w:r>
          </w:p>
        </w:tc>
        <w:tc>
          <w:tcPr>
            <w:tcW w:w="8153" w:type="dxa"/>
            <w:gridSpan w:val="6"/>
            <w:tcBorders>
              <w:top w:val="nil"/>
              <w:left w:val="nil"/>
              <w:bottom w:val="single" w:color="auto" w:sz="4" w:space="0"/>
              <w:right w:val="double" w:color="auto" w:sz="6"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13" w:firstLine="420"/>
              <w:jc w:val="left"/>
              <w:rPr>
                <w:color w:val="000000"/>
                <w:sz w:val="18"/>
                <w:szCs w:val="18"/>
              </w:rPr>
            </w:pPr>
            <w:r>
              <w:rPr>
                <w:rFonts w:hint="default" w:ascii="Times New Roman" w:hAnsi="Times New Roman" w:eastAsia="宋体" w:cs="Times New Roman"/>
                <w:color w:val="000000"/>
                <w:kern w:val="0"/>
                <w:sz w:val="21"/>
                <w:szCs w:val="21"/>
                <w:lang w:val="en-US" w:eastAsia="zh-CN" w:bidi="ar"/>
              </w:rPr>
              <w:t>请在以下空白处盖写个人签名用于采集，该签章仅用于办理“电子签章”相关事宜，请保证其清晰完整，切勿贴边、压字、压线。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95" w:hRule="atLeast"/>
        </w:trPr>
        <w:tc>
          <w:tcPr>
            <w:tcW w:w="1539" w:type="dxa"/>
            <w:tcBorders>
              <w:top w:val="nil"/>
              <w:left w:val="double" w:color="auto" w:sz="6" w:space="0"/>
              <w:bottom w:val="double" w:color="auto" w:sz="6"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监管机构</w:t>
            </w:r>
          </w:p>
        </w:tc>
        <w:tc>
          <w:tcPr>
            <w:tcW w:w="8153" w:type="dxa"/>
            <w:gridSpan w:val="6"/>
            <w:tcBorders>
              <w:top w:val="nil"/>
              <w:left w:val="nil"/>
              <w:bottom w:val="double" w:color="auto" w:sz="6" w:space="0"/>
              <w:right w:val="double" w:color="auto" w:sz="6"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13" w:firstLine="3960"/>
              <w:jc w:val="left"/>
              <w:rPr>
                <w:color w:val="000000"/>
                <w:sz w:val="18"/>
                <w:szCs w:val="18"/>
              </w:rPr>
            </w:pPr>
            <w:r>
              <w:rPr>
                <w:rFonts w:hint="default" w:ascii="Times New Roman" w:hAnsi="Times New Roman" w:eastAsia="宋体" w:cs="Times New Roman"/>
                <w:color w:val="000000"/>
                <w:kern w:val="0"/>
                <w:sz w:val="24"/>
                <w:szCs w:val="24"/>
                <w:lang w:val="en-US" w:eastAsia="zh-CN" w:bidi="ar"/>
              </w:rPr>
              <w:t>经办人签字：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3960"/>
              <w:jc w:val="left"/>
              <w:rPr>
                <w:color w:val="000000"/>
                <w:sz w:val="18"/>
                <w:szCs w:val="18"/>
              </w:rPr>
            </w:pPr>
            <w:r>
              <w:rPr>
                <w:rFonts w:hint="default" w:ascii="Times New Roman" w:hAnsi="Times New Roman" w:eastAsia="宋体" w:cs="Times New Roman"/>
                <w:color w:val="000000"/>
                <w:kern w:val="0"/>
                <w:sz w:val="24"/>
                <w:szCs w:val="24"/>
                <w:bdr w:val="none" w:color="auto" w:sz="0" w:space="0"/>
                <w:lang w:val="en-US" w:eastAsia="zh-CN" w:bidi="ar"/>
              </w:rPr>
              <w:t>或盖单位章：</w:t>
            </w:r>
          </w:p>
        </w:tc>
      </w:tr>
    </w:tbl>
    <w:p>
      <w:pPr>
        <w:keepNext w:val="0"/>
        <w:keepLines w:val="0"/>
        <w:widowControl/>
        <w:suppressLineNumbers w:val="0"/>
        <w:shd w:val="clear" w:fill="FFFFFF"/>
        <w:spacing w:before="0" w:beforeAutospacing="0" w:after="0" w:afterAutospacing="0" w:line="560" w:lineRule="atLeast"/>
        <w:ind w:left="0" w:right="-58" w:firstLine="0"/>
        <w:jc w:val="center"/>
        <w:rPr>
          <w:rFonts w:hint="eastAsia" w:ascii="微软雅黑" w:hAnsi="微软雅黑" w:eastAsia="微软雅黑" w:cs="微软雅黑"/>
          <w:i w:val="0"/>
          <w:caps w:val="0"/>
          <w:color w:val="000000"/>
          <w:spacing w:val="0"/>
          <w:sz w:val="18"/>
          <w:szCs w:val="18"/>
        </w:rPr>
      </w:pPr>
      <w:r>
        <w:rPr>
          <w:rFonts w:hint="default" w:ascii="Times New Roman" w:hAnsi="Times New Roman" w:eastAsia="微软雅黑" w:cs="Times New Roman"/>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18"/>
          <w:szCs w:val="18"/>
        </w:rPr>
      </w:pPr>
      <w:r>
        <w:rPr>
          <w:rFonts w:hint="default" w:ascii="Times New Roman" w:hAnsi="Times New Roman" w:eastAsia="微软雅黑" w:cs="Times New Roman"/>
          <w:i w:val="0"/>
          <w:caps w:val="0"/>
          <w:color w:val="000000"/>
          <w:spacing w:val="0"/>
          <w:kern w:val="0"/>
          <w:sz w:val="32"/>
          <w:szCs w:val="32"/>
          <w:shd w:val="clear" w:fill="FFFFFF"/>
          <w:lang w:val="en-US" w:eastAsia="zh-CN" w:bidi="ar"/>
        </w:rPr>
        <w:br w:type="textWrapping"/>
      </w:r>
      <w:r>
        <w:rPr>
          <w:rFonts w:hint="default" w:ascii="仿宋_GB2312" w:hAnsi="微软雅黑" w:eastAsia="仿宋_GB2312" w:cs="仿宋_GB2312"/>
          <w:i w:val="0"/>
          <w:caps w:val="0"/>
          <w:color w:val="000000"/>
          <w:spacing w:val="0"/>
          <w:kern w:val="0"/>
          <w:sz w:val="32"/>
          <w:szCs w:val="32"/>
          <w:shd w:val="clear" w:fill="FFFFFF"/>
          <w:lang w:val="en-US" w:eastAsia="zh-CN" w:bidi="ar"/>
        </w:rPr>
        <w:t>附件二</w:t>
      </w:r>
    </w:p>
    <w:p>
      <w:pPr>
        <w:keepNext w:val="0"/>
        <w:keepLines w:val="0"/>
        <w:widowControl/>
        <w:suppressLineNumbers w:val="0"/>
        <w:shd w:val="clear" w:fill="FFFFFF"/>
        <w:spacing w:line="560" w:lineRule="atLeast"/>
        <w:ind w:left="0" w:firstLine="0"/>
        <w:jc w:val="center"/>
        <w:rPr>
          <w:rFonts w:hint="eastAsia" w:ascii="微软雅黑" w:hAnsi="微软雅黑" w:eastAsia="微软雅黑" w:cs="微软雅黑"/>
          <w:i w:val="0"/>
          <w:caps w:val="0"/>
          <w:color w:val="000000"/>
          <w:spacing w:val="0"/>
          <w:sz w:val="18"/>
          <w:szCs w:val="18"/>
        </w:rPr>
      </w:pPr>
      <w:r>
        <w:rPr>
          <w:rFonts w:hint="default" w:ascii="Times New Roman" w:hAnsi="Times New Roman" w:eastAsia="微软雅黑" w:cs="Times New Roman"/>
          <w:i w:val="0"/>
          <w:caps w:val="0"/>
          <w:color w:val="000000"/>
          <w:spacing w:val="0"/>
          <w:kern w:val="0"/>
          <w:sz w:val="36"/>
          <w:szCs w:val="36"/>
          <w:shd w:val="clear" w:fill="FFFFFF"/>
          <w:lang w:val="en-US" w:eastAsia="zh-CN" w:bidi="ar"/>
        </w:rPr>
        <w:t>江苏省信息安全风险检查评估备案机构及联系方式</w:t>
      </w:r>
    </w:p>
    <w:p>
      <w:pPr>
        <w:keepNext w:val="0"/>
        <w:keepLines w:val="0"/>
        <w:widowControl/>
        <w:suppressLineNumbers w:val="0"/>
        <w:shd w:val="clear" w:fill="FFFFFF"/>
        <w:spacing w:line="560" w:lineRule="atLeast"/>
        <w:ind w:left="0" w:firstLine="0"/>
        <w:jc w:val="left"/>
        <w:rPr>
          <w:rFonts w:hint="eastAsia" w:ascii="微软雅黑" w:hAnsi="微软雅黑" w:eastAsia="微软雅黑" w:cs="微软雅黑"/>
          <w:i w:val="0"/>
          <w:caps w:val="0"/>
          <w:color w:val="000000"/>
          <w:spacing w:val="0"/>
          <w:sz w:val="18"/>
          <w:szCs w:val="18"/>
        </w:rPr>
      </w:pPr>
      <w:r>
        <w:rPr>
          <w:rFonts w:hint="default" w:ascii="Times New Roman" w:hAnsi="Times New Roman" w:eastAsia="微软雅黑" w:cs="Times New Roman"/>
          <w:i w:val="0"/>
          <w:caps w:val="0"/>
          <w:color w:val="000000"/>
          <w:spacing w:val="0"/>
          <w:kern w:val="0"/>
          <w:sz w:val="30"/>
          <w:szCs w:val="30"/>
          <w:shd w:val="clear" w:fill="FFFFFF"/>
          <w:lang w:val="en-US" w:eastAsia="zh-CN" w:bidi="ar"/>
        </w:rPr>
        <w:t>江苏省信息安全测评中心</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caps w:val="0"/>
          <w:color w:val="000000"/>
          <w:spacing w:val="0"/>
          <w:kern w:val="0"/>
          <w:sz w:val="30"/>
          <w:szCs w:val="30"/>
          <w:shd w:val="clear" w:fill="FFFFFF"/>
          <w:lang w:val="en-US" w:eastAsia="zh-CN" w:bidi="ar"/>
        </w:rPr>
        <w:t>吴兰</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t>0510-85100442, 18961815819)</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江苏国瑞信安科技有限公司</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caps w:val="0"/>
          <w:color w:val="000000"/>
          <w:spacing w:val="0"/>
          <w:kern w:val="0"/>
          <w:sz w:val="30"/>
          <w:szCs w:val="30"/>
          <w:shd w:val="clear" w:fill="FFFFFF"/>
          <w:lang w:val="en-US" w:eastAsia="zh-CN" w:bidi="ar"/>
        </w:rPr>
        <w:t>唐卫民</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t>025-83733918, 13951015587)</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江苏天创科技有限公司</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caps w:val="0"/>
          <w:color w:val="000000"/>
          <w:spacing w:val="0"/>
          <w:kern w:val="0"/>
          <w:sz w:val="30"/>
          <w:szCs w:val="30"/>
          <w:shd w:val="clear" w:fill="FFFFFF"/>
          <w:lang w:val="en-US" w:eastAsia="zh-CN" w:bidi="ar"/>
        </w:rPr>
        <w:t>许正平</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t>025-84533270/0512- 65153602, 13861338588)</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常州瑞新网络科技有限公司</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caps w:val="0"/>
          <w:color w:val="000000"/>
          <w:spacing w:val="0"/>
          <w:kern w:val="0"/>
          <w:sz w:val="30"/>
          <w:szCs w:val="30"/>
          <w:shd w:val="clear" w:fill="FFFFFF"/>
          <w:lang w:val="en-US" w:eastAsia="zh-CN" w:bidi="ar"/>
        </w:rPr>
        <w:t>倪德帅</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t>0519-89601685, 13961183859)</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苏州亿阳值通科技发展股份有限公司</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caps w:val="0"/>
          <w:color w:val="000000"/>
          <w:spacing w:val="0"/>
          <w:kern w:val="0"/>
          <w:sz w:val="30"/>
          <w:szCs w:val="30"/>
          <w:shd w:val="clear" w:fill="FFFFFF"/>
          <w:lang w:val="en-US" w:eastAsia="zh-CN" w:bidi="ar"/>
        </w:rPr>
        <w:t>黄大为</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t>0512-62565278, 18015581970)</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江苏金陵科技集团公司</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caps w:val="0"/>
          <w:color w:val="000000"/>
          <w:spacing w:val="0"/>
          <w:kern w:val="0"/>
          <w:sz w:val="30"/>
          <w:szCs w:val="30"/>
          <w:shd w:val="clear" w:fill="FFFFFF"/>
          <w:lang w:val="en-US" w:eastAsia="zh-CN" w:bidi="ar"/>
        </w:rPr>
        <w:t>钱昊</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t>025-83586423, 18951656423)</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江苏新亿迪智能科技有限公司</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br w:type="textWrapping"/>
      </w:r>
      <w:r>
        <w:rPr>
          <w:rFonts w:hint="default" w:ascii="Times New Roman" w:hAnsi="Times New Roman" w:eastAsia="微软雅黑" w:cs="Times New Roman"/>
          <w:i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caps w:val="0"/>
          <w:color w:val="000000"/>
          <w:spacing w:val="0"/>
          <w:kern w:val="0"/>
          <w:sz w:val="30"/>
          <w:szCs w:val="30"/>
          <w:shd w:val="clear" w:fill="FFFFFF"/>
          <w:lang w:val="en-US" w:eastAsia="zh-CN" w:bidi="ar"/>
        </w:rPr>
        <w:t>周祥</w:t>
      </w:r>
      <w:r>
        <w:rPr>
          <w:rFonts w:hint="default" w:ascii="Times New Roman" w:hAnsi="Times New Roman" w:eastAsia="微软雅黑" w:cs="Times New Roman"/>
          <w:i w:val="0"/>
          <w:caps w:val="0"/>
          <w:color w:val="000000"/>
          <w:spacing w:val="0"/>
          <w:kern w:val="0"/>
          <w:sz w:val="30"/>
          <w:szCs w:val="30"/>
          <w:shd w:val="clear" w:fill="FFFFFF"/>
          <w:lang w:val="en-US" w:eastAsia="zh-CN" w:bidi="ar"/>
        </w:rPr>
        <w:t>0512-68119231-802, 13812661176)</w:t>
      </w:r>
    </w:p>
    <w:p>
      <w:pPr>
        <w:rPr>
          <w:rFonts w:hint="eastAsia" w:ascii="宋体" w:hAnsi="宋体" w:eastAsia="宋体" w:cs="宋体"/>
          <w:b/>
          <w:color w:val="000000"/>
          <w:sz w:val="37"/>
          <w:szCs w:val="37"/>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9097D"/>
    <w:rsid w:val="2104601A"/>
    <w:rsid w:val="2A99097D"/>
    <w:rsid w:val="4713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2019-03-13T06:43:00Z</dcterms:created>
  <dc:creator>你好846322</dc:creator>
  <cp:lastModifiedBy>你好846322</cp:lastModifiedBy>
  <dcterms:modified xsi:type="dcterms:W3CDTF">2019-08-05T09:30:57Z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