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B8" w:rsidRPr="00EF1F0B" w:rsidRDefault="004F6EB8" w:rsidP="004F6EB8">
      <w:pPr>
        <w:pStyle w:val="2"/>
        <w:spacing w:line="360" w:lineRule="auto"/>
        <w:ind w:firstLineChars="0" w:firstLine="0"/>
        <w:rPr>
          <w:rFonts w:ascii="仿宋" w:eastAsia="仿宋" w:hAnsi="仿宋" w:cs="仿宋"/>
          <w:b/>
          <w:bCs/>
          <w:color w:val="000000" w:themeColor="text1"/>
          <w:sz w:val="30"/>
          <w:szCs w:val="30"/>
        </w:rPr>
      </w:pPr>
      <w:r w:rsidRPr="00EF1F0B">
        <w:rPr>
          <w:rFonts w:ascii="仿宋" w:eastAsia="仿宋" w:hAnsi="仿宋" w:cs="仿宋" w:hint="eastAsia"/>
          <w:b/>
          <w:bCs/>
          <w:color w:val="000000" w:themeColor="text1"/>
          <w:sz w:val="30"/>
          <w:szCs w:val="30"/>
        </w:rPr>
        <w:t>附件</w:t>
      </w:r>
      <w:r w:rsidRPr="00EF1F0B">
        <w:rPr>
          <w:rFonts w:ascii="仿宋" w:eastAsia="仿宋" w:hAnsi="仿宋" w:cs="仿宋"/>
          <w:b/>
          <w:bCs/>
          <w:color w:val="000000" w:themeColor="text1"/>
          <w:sz w:val="30"/>
          <w:szCs w:val="30"/>
        </w:rPr>
        <w:t>3</w:t>
      </w:r>
      <w:r w:rsidRPr="00EF1F0B">
        <w:rPr>
          <w:rFonts w:ascii="仿宋" w:eastAsia="仿宋" w:hAnsi="仿宋" w:cs="仿宋" w:hint="eastAsia"/>
          <w:b/>
          <w:bCs/>
          <w:color w:val="000000" w:themeColor="text1"/>
          <w:sz w:val="30"/>
          <w:szCs w:val="30"/>
        </w:rPr>
        <w:t>：</w:t>
      </w:r>
    </w:p>
    <w:p w:rsidR="005E40E8" w:rsidRPr="00EF1F0B" w:rsidRDefault="004F6EB8" w:rsidP="005E40E8">
      <w:pPr>
        <w:pStyle w:val="2"/>
        <w:spacing w:line="360" w:lineRule="auto"/>
        <w:ind w:firstLineChars="0" w:firstLine="0"/>
        <w:jc w:val="center"/>
        <w:rPr>
          <w:rFonts w:ascii="仿宋" w:eastAsia="仿宋" w:hAnsi="仿宋" w:cs="仿宋"/>
          <w:b/>
          <w:bCs/>
          <w:color w:val="000000" w:themeColor="text1"/>
          <w:sz w:val="32"/>
          <w:szCs w:val="32"/>
        </w:rPr>
      </w:pPr>
      <w:r w:rsidRPr="00EF1F0B">
        <w:rPr>
          <w:rFonts w:ascii="仿宋" w:eastAsia="仿宋" w:hAnsi="仿宋" w:cs="仿宋" w:hint="eastAsia"/>
          <w:b/>
          <w:bCs/>
          <w:color w:val="000000" w:themeColor="text1"/>
          <w:sz w:val="32"/>
          <w:szCs w:val="32"/>
        </w:rPr>
        <w:t>中国土木工程学会建筑市场与招标投标研究分会</w:t>
      </w:r>
    </w:p>
    <w:p w:rsidR="004F6EB8" w:rsidRPr="00EF1F0B" w:rsidRDefault="005E40E8" w:rsidP="005E40E8">
      <w:pPr>
        <w:spacing w:line="360" w:lineRule="auto"/>
        <w:ind w:firstLineChars="192" w:firstLine="617"/>
        <w:jc w:val="center"/>
        <w:rPr>
          <w:rFonts w:ascii="仿宋" w:eastAsia="仿宋" w:hAnsi="仿宋" w:cs="仿宋"/>
          <w:b/>
          <w:bCs/>
          <w:color w:val="000000" w:themeColor="text1"/>
          <w:sz w:val="32"/>
          <w:szCs w:val="32"/>
        </w:rPr>
      </w:pPr>
      <w:r w:rsidRPr="00EF1F0B">
        <w:rPr>
          <w:rFonts w:ascii="仿宋" w:eastAsia="仿宋" w:hAnsi="仿宋" w:cs="仿宋" w:hint="eastAsia"/>
          <w:b/>
          <w:bCs/>
          <w:color w:val="000000" w:themeColor="text1"/>
          <w:sz w:val="32"/>
          <w:szCs w:val="32"/>
        </w:rPr>
        <w:t>《2021年“华采杯”优秀论文</w:t>
      </w:r>
      <w:r w:rsidR="004F6EB8" w:rsidRPr="00EF1F0B">
        <w:rPr>
          <w:rFonts w:ascii="仿宋" w:eastAsia="仿宋" w:hAnsi="仿宋" w:cs="仿宋" w:hint="eastAsia"/>
          <w:b/>
          <w:bCs/>
          <w:color w:val="000000" w:themeColor="text1"/>
          <w:sz w:val="32"/>
          <w:szCs w:val="32"/>
        </w:rPr>
        <w:t>评选办法》</w:t>
      </w:r>
    </w:p>
    <w:p w:rsidR="005E40E8" w:rsidRPr="00EF1F0B" w:rsidRDefault="005E40E8" w:rsidP="005E40E8">
      <w:pPr>
        <w:spacing w:line="360" w:lineRule="auto"/>
        <w:ind w:firstLineChars="192" w:firstLine="578"/>
        <w:jc w:val="center"/>
        <w:rPr>
          <w:rFonts w:ascii="仿宋" w:eastAsia="仿宋" w:hAnsi="仿宋" w:cs="仿宋" w:hint="eastAsia"/>
          <w:b/>
          <w:bCs/>
          <w:color w:val="000000" w:themeColor="text1"/>
          <w:sz w:val="30"/>
          <w:szCs w:val="30"/>
        </w:rPr>
      </w:pP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第一条　为倡导建设工程招标投标行业学术研究，促进建筑市场与招标投标制度的改革创新，总结建设工程领域建筑市场与招标投标方面的改革成果与经验，促进建设工程招标投标事业的发展，举办“中国土木工程学会建筑市场与招标投标研究分会优秀论文评选”（以下简称“优秀论文评选”）。</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第二条　中国土木工程学会建筑市场与招标投标研究分会（以下简称“分会”）每１－２年举办一次“优秀论文评选”。</w:t>
      </w:r>
      <w:r w:rsidRPr="00EF1F0B">
        <w:rPr>
          <w:rFonts w:ascii="仿宋" w:eastAsia="仿宋" w:hAnsi="仿宋" w:cs="仿宋" w:hint="eastAsia"/>
          <w:bCs/>
          <w:color w:val="000000" w:themeColor="text1"/>
          <w:sz w:val="30"/>
          <w:szCs w:val="30"/>
        </w:rPr>
        <w:t>获</w:t>
      </w:r>
      <w:r w:rsidRPr="00EF1F0B">
        <w:rPr>
          <w:rFonts w:ascii="仿宋" w:eastAsia="仿宋" w:hAnsi="仿宋" w:cs="仿宋" w:hint="eastAsia"/>
          <w:color w:val="000000" w:themeColor="text1"/>
          <w:sz w:val="30"/>
          <w:szCs w:val="30"/>
        </w:rPr>
        <w:t>选论文编入《建筑市场与招标投标优秀论文集》，</w:t>
      </w:r>
      <w:r w:rsidRPr="00EF1F0B">
        <w:rPr>
          <w:rFonts w:ascii="仿宋" w:eastAsia="仿宋" w:hAnsi="仿宋" w:cs="仿宋" w:hint="eastAsia"/>
          <w:bCs/>
          <w:color w:val="000000" w:themeColor="text1"/>
          <w:sz w:val="30"/>
          <w:szCs w:val="30"/>
        </w:rPr>
        <w:t>由“分会”颁发优秀论文证书，</w:t>
      </w:r>
      <w:r w:rsidRPr="00EF1F0B">
        <w:rPr>
          <w:rFonts w:ascii="仿宋" w:eastAsia="仿宋" w:hAnsi="仿宋" w:cs="仿宋" w:hint="eastAsia"/>
          <w:color w:val="000000" w:themeColor="text1"/>
          <w:sz w:val="30"/>
          <w:szCs w:val="30"/>
        </w:rPr>
        <w:t>并刊登在“分会”期刊和网站上。</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 xml:space="preserve">第三条　</w:t>
      </w:r>
      <w:bookmarkStart w:id="0" w:name="_GoBack"/>
      <w:bookmarkEnd w:id="0"/>
      <w:r w:rsidRPr="00EF1F0B">
        <w:rPr>
          <w:rFonts w:ascii="仿宋" w:eastAsia="仿宋" w:hAnsi="仿宋" w:cs="仿宋" w:hint="eastAsia"/>
          <w:color w:val="000000" w:themeColor="text1"/>
          <w:sz w:val="30"/>
          <w:szCs w:val="30"/>
        </w:rPr>
        <w:t>论文评选范围。围绕着建设工程招标投标领域国家的大政方针、法治建设和改革创新的主题。主要内容包含工程建设招标投标领域法律法规、体制机制、各类主体行为规范、监督管理、网络信息、电子平台、招标投标新技术和新模式等的理论研究，成果经验的总结推广等。</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第四条　每届“优秀论文评选”由“分会”组织业内专家（9至11名）组成的优秀论文评审委员会进行评审，按参评论文总数的20-30%评选出优秀论文。</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第五条　评审原则。公平公正、科学严谨、创新求索、真</w:t>
      </w:r>
      <w:r w:rsidRPr="00EF1F0B">
        <w:rPr>
          <w:rFonts w:ascii="仿宋" w:eastAsia="仿宋" w:hAnsi="仿宋" w:cs="仿宋" w:hint="eastAsia"/>
          <w:color w:val="000000" w:themeColor="text1"/>
          <w:sz w:val="30"/>
          <w:szCs w:val="30"/>
        </w:rPr>
        <w:lastRenderedPageBreak/>
        <w:t>实客观。</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第六条　评审标准。评审实行百分制，每篇论文最高分为100分，按以下五项标准评分，不得超过各项标准的最高分值。</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（一）真实性0－15分。作品真实可信（5分），无抄袭剽窃（2分），符合作者真实水平（４分）和客观实际（4分）。</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二）科学性0－35分。作品选题立意准确有针对性（5分），专业业务性强（3分），方案措施合理（3分），内容创新科学（4分）、研究方法正确（3分），理论依据可靠（5分），论据充分（4分），逻辑严密（4分），结论科学正确（4分）。</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（三）创新性0－25分。作品观点新颖（5分）、思想先进（4分）、技术难度显著（6分），有创新性（5分）和突破性（5分）。</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（四）实用性0－20分。作品符合客观现实（6分），解决实际问题（6分），可参考借鉴（4分），可复制应用（4分）。</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（五）规范性0－5分。结构完整（1分），层次分明（1分），文理通顺（1分），表达准确（1分），格式规范（1分）。</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第七条　评审程序。评审分为四个环节：查重、初评、复评、终评。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第八条　实行省级协会和“分会”两级评审制。</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第九条　省级协会评审。各省级协会组织评审推荐优秀论文5至10篇（不排序）参加“分会”评审，其重复率不得超过</w:t>
      </w:r>
      <w:r w:rsidRPr="00EF1F0B">
        <w:rPr>
          <w:rFonts w:ascii="仿宋" w:eastAsia="仿宋" w:hAnsi="仿宋" w:cs="仿宋" w:hint="eastAsia"/>
          <w:color w:val="000000" w:themeColor="text1"/>
          <w:sz w:val="30"/>
          <w:szCs w:val="30"/>
        </w:rPr>
        <w:lastRenderedPageBreak/>
        <w:t>40%，具体评审方法由省级协会制定。没有省级协会的可由市区市协会推荐1篇优秀论文参加“分会”评审。</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第十条　“分会”评审</w:t>
      </w:r>
    </w:p>
    <w:p w:rsidR="004F6EB8" w:rsidRPr="00EF1F0B" w:rsidRDefault="004F6EB8" w:rsidP="004F6EB8">
      <w:pPr>
        <w:pStyle w:val="2"/>
        <w:numPr>
          <w:ilvl w:val="0"/>
          <w:numId w:val="1"/>
        </w:numPr>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组成评审委员会</w:t>
      </w:r>
    </w:p>
    <w:p w:rsidR="004F6EB8" w:rsidRPr="00EF1F0B" w:rsidRDefault="004F6EB8" w:rsidP="004F6EB8">
      <w:pPr>
        <w:ind w:firstLineChars="213" w:firstLine="639"/>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评审委员会成员在“</w:t>
      </w:r>
      <w:r w:rsidRPr="00EF1F0B">
        <w:rPr>
          <w:rFonts w:ascii="仿宋" w:eastAsia="仿宋" w:hAnsi="仿宋" w:cs="仿宋" w:hint="eastAsia"/>
          <w:color w:val="000000" w:themeColor="text1"/>
          <w:sz w:val="28"/>
          <w:szCs w:val="28"/>
        </w:rPr>
        <w:t>全国工程招标投标专家咨询组名单</w:t>
      </w:r>
      <w:r w:rsidRPr="00EF1F0B">
        <w:rPr>
          <w:rFonts w:ascii="仿宋" w:eastAsia="仿宋" w:hAnsi="仿宋" w:cs="仿宋" w:hint="eastAsia"/>
          <w:color w:val="000000" w:themeColor="text1"/>
          <w:sz w:val="30"/>
          <w:szCs w:val="30"/>
        </w:rPr>
        <w:t>”和“研究所研究员名单”中产生，由“分会”根据论文的专业分类和地区分布选聘有较强专业水平，有较高的理论素养，有较好的敬业奉献精神的专家担任，实行作者回避制。</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二、查重率</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分会”秘书处汇总参评论文，对评选论文投稿截止日前收到的所有稿件采用公布的“查重”软件进行重复率复核，所采用查重软件由“分会”在年度优秀论文评选通知中公布。凡重复率不大于40%的论文均可通过筛选进入初评，重复率大于40%的论文应被淘汰。查重报告及查重结果汇总表等论文资料移交评审委员会。</w:t>
      </w:r>
    </w:p>
    <w:p w:rsidR="004F6EB8" w:rsidRPr="00EF1F0B" w:rsidRDefault="004F6EB8" w:rsidP="004F6EB8">
      <w:pPr>
        <w:pStyle w:val="2"/>
        <w:spacing w:line="360" w:lineRule="auto"/>
        <w:ind w:leftChars="228" w:left="479" w:firstLineChars="0" w:firstLine="0"/>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sz w:val="30"/>
          <w:szCs w:val="30"/>
        </w:rPr>
        <w:t xml:space="preserve">　三、初评</w:t>
      </w:r>
    </w:p>
    <w:p w:rsidR="004F6EB8" w:rsidRPr="00EF1F0B" w:rsidRDefault="004F6EB8" w:rsidP="004F6EB8">
      <w:pPr>
        <w:pStyle w:val="2"/>
        <w:spacing w:line="360" w:lineRule="auto"/>
        <w:ind w:firstLineChars="213" w:firstLine="639"/>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（一）论文分类，评委分组。评审委员会将进入初评的所有论文按技术专业分类，评审委员按专业分若干组。若论文数量和时间允许也可采取评委对所有推荐论文进行一次性评审后直接进入终评。</w:t>
      </w:r>
    </w:p>
    <w:p w:rsidR="004F6EB8" w:rsidRPr="00EF1F0B" w:rsidRDefault="004F6EB8" w:rsidP="004F6EB8">
      <w:pPr>
        <w:pStyle w:val="2"/>
        <w:spacing w:line="360" w:lineRule="auto"/>
        <w:ind w:firstLineChars="0" w:firstLine="0"/>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 xml:space="preserve">　　（二）评委分组评审。每个评审组按专业对口原则分配评审论文，各组评审论文的数量应大致平衡，评委根据本办法</w:t>
      </w:r>
      <w:r w:rsidRPr="00EF1F0B">
        <w:rPr>
          <w:rFonts w:ascii="仿宋" w:eastAsia="仿宋" w:hAnsi="仿宋" w:cs="仿宋" w:hint="eastAsia"/>
          <w:color w:val="000000" w:themeColor="text1"/>
          <w:kern w:val="0"/>
          <w:sz w:val="30"/>
          <w:szCs w:val="30"/>
          <w:lang w:bidi="ar"/>
        </w:rPr>
        <w:lastRenderedPageBreak/>
        <w:t>“评审标准”给本组每篇论文评分，并填写论文初评表。</w:t>
      </w:r>
    </w:p>
    <w:p w:rsidR="004F6EB8" w:rsidRPr="00EF1F0B" w:rsidRDefault="004F6EB8" w:rsidP="004F6EB8">
      <w:pPr>
        <w:pStyle w:val="2"/>
        <w:spacing w:line="360" w:lineRule="auto"/>
        <w:ind w:firstLineChars="0" w:firstLine="600"/>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（三）初评得分：评审委员会负责汇总各组每位评委每篇论文打分，将分组所有评委打分加权平均即为每篇论文初评得分，填写初评汇总表。</w:t>
      </w:r>
    </w:p>
    <w:p w:rsidR="004F6EB8" w:rsidRPr="00EF1F0B" w:rsidRDefault="004F6EB8" w:rsidP="004F6EB8">
      <w:pPr>
        <w:pStyle w:val="2"/>
        <w:spacing w:line="360" w:lineRule="auto"/>
        <w:ind w:firstLineChars="0" w:firstLine="0"/>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（每篇论文初评得分＝某分组所有评委打分之和</w:t>
      </w:r>
      <w:r w:rsidRPr="00EF1F0B">
        <w:rPr>
          <w:rFonts w:ascii="Arial" w:eastAsia="仿宋" w:hAnsi="Arial" w:cs="Arial"/>
          <w:color w:val="000000" w:themeColor="text1"/>
          <w:kern w:val="0"/>
          <w:sz w:val="30"/>
          <w:szCs w:val="30"/>
          <w:lang w:bidi="ar"/>
        </w:rPr>
        <w:t>÷</w:t>
      </w:r>
      <w:r w:rsidRPr="00EF1F0B">
        <w:rPr>
          <w:rFonts w:ascii="仿宋" w:eastAsia="仿宋" w:hAnsi="仿宋" w:cs="仿宋" w:hint="eastAsia"/>
          <w:color w:val="000000" w:themeColor="text1"/>
          <w:kern w:val="0"/>
          <w:sz w:val="30"/>
          <w:szCs w:val="30"/>
          <w:lang w:bidi="ar"/>
        </w:rPr>
        <w:t>分组评委人数）</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四、复评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1.初评排名。各组初评得分从高到低排名，取各组前10名论文进行复评。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2.各组</w:t>
      </w:r>
      <w:r w:rsidRPr="00EF1F0B">
        <w:rPr>
          <w:rFonts w:ascii="仿宋" w:eastAsia="仿宋" w:hAnsi="仿宋" w:cs="仿宋" w:hint="eastAsia"/>
          <w:color w:val="000000" w:themeColor="text1"/>
          <w:sz w:val="30"/>
          <w:szCs w:val="30"/>
        </w:rPr>
        <w:t>对其他组前10名论文按“评审标准”进行复评打分，填写各组复评表。</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3.评审委员会负责汇总各组复评打分，将其加权平均即为篇论文复评得分，填写复评汇总表。（复评论文得分＝除初分时已对该论文打分的评委以外的所有评委复评打分之和</w:t>
      </w:r>
      <w:r w:rsidRPr="00EF1F0B">
        <w:rPr>
          <w:rFonts w:ascii="Arial" w:eastAsia="仿宋" w:hAnsi="Arial" w:cs="Arial"/>
          <w:color w:val="000000" w:themeColor="text1"/>
          <w:kern w:val="0"/>
          <w:sz w:val="30"/>
          <w:szCs w:val="30"/>
          <w:lang w:bidi="ar"/>
        </w:rPr>
        <w:t>÷</w:t>
      </w:r>
      <w:r w:rsidRPr="00EF1F0B">
        <w:rPr>
          <w:rFonts w:ascii="Arial" w:eastAsia="仿宋" w:hAnsi="Arial" w:cs="Arial" w:hint="eastAsia"/>
          <w:color w:val="000000" w:themeColor="text1"/>
          <w:kern w:val="0"/>
          <w:sz w:val="30"/>
          <w:szCs w:val="30"/>
          <w:lang w:bidi="ar"/>
        </w:rPr>
        <w:t>复评评委人数</w:t>
      </w:r>
      <w:r w:rsidRPr="00EF1F0B">
        <w:rPr>
          <w:rFonts w:ascii="仿宋" w:eastAsia="仿宋" w:hAnsi="仿宋" w:cs="仿宋" w:hint="eastAsia"/>
          <w:color w:val="000000" w:themeColor="text1"/>
          <w:kern w:val="0"/>
          <w:sz w:val="30"/>
          <w:szCs w:val="30"/>
          <w:lang w:bidi="ar"/>
        </w:rPr>
        <w:t>）</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kern w:val="0"/>
          <w:sz w:val="30"/>
          <w:szCs w:val="30"/>
          <w:lang w:bidi="ar"/>
        </w:rPr>
        <w:t>4.总得分。</w:t>
      </w:r>
      <w:r w:rsidRPr="00EF1F0B">
        <w:rPr>
          <w:rFonts w:ascii="仿宋" w:eastAsia="仿宋" w:hAnsi="仿宋" w:cs="仿宋" w:hint="eastAsia"/>
          <w:color w:val="000000" w:themeColor="text1"/>
          <w:sz w:val="30"/>
          <w:szCs w:val="30"/>
        </w:rPr>
        <w:t>每篇论文总分＝（初评分）65%+（复评分）35%。</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五、终评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由评委会主任主持召开评审委员会全体评委终审会议。</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1.评审委员会报告查重、初评、复评情况，并公布得分及排名。</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kern w:val="0"/>
          <w:sz w:val="30"/>
          <w:szCs w:val="30"/>
          <w:lang w:bidi="ar"/>
        </w:rPr>
        <w:t>2.确定入选优秀论文名额和名单。根据复评情况和“</w:t>
      </w:r>
      <w:r w:rsidRPr="00EF1F0B">
        <w:rPr>
          <w:rFonts w:ascii="仿宋" w:eastAsia="仿宋" w:hAnsi="仿宋" w:cs="仿宋" w:hint="eastAsia"/>
          <w:color w:val="000000" w:themeColor="text1"/>
          <w:sz w:val="30"/>
          <w:szCs w:val="30"/>
        </w:rPr>
        <w:t>按参</w:t>
      </w:r>
      <w:r w:rsidRPr="00EF1F0B">
        <w:rPr>
          <w:rFonts w:ascii="仿宋" w:eastAsia="仿宋" w:hAnsi="仿宋" w:cs="仿宋" w:hint="eastAsia"/>
          <w:color w:val="000000" w:themeColor="text1"/>
          <w:sz w:val="30"/>
          <w:szCs w:val="30"/>
        </w:rPr>
        <w:lastRenderedPageBreak/>
        <w:t>评论文总数的20-30%”的名额标准，依据</w:t>
      </w:r>
      <w:r w:rsidRPr="00EF1F0B">
        <w:rPr>
          <w:rFonts w:ascii="仿宋" w:eastAsia="仿宋" w:hAnsi="仿宋" w:cs="仿宋" w:hint="eastAsia"/>
          <w:color w:val="000000" w:themeColor="text1"/>
          <w:kern w:val="0"/>
          <w:sz w:val="30"/>
          <w:szCs w:val="30"/>
          <w:lang w:bidi="ar"/>
        </w:rPr>
        <w:t>复评总得分从高至低依次排列入选优秀奖名单。</w:t>
      </w:r>
      <w:r w:rsidRPr="00EF1F0B">
        <w:rPr>
          <w:rFonts w:ascii="仿宋" w:eastAsia="仿宋" w:hAnsi="仿宋" w:cs="仿宋" w:hint="eastAsia"/>
          <w:color w:val="000000" w:themeColor="text1"/>
          <w:sz w:val="30"/>
          <w:szCs w:val="30"/>
        </w:rPr>
        <w:t>如论文评审得分相同，则名次并列，参加征文评选的每一个作者只限入选一篇论文。</w:t>
      </w:r>
    </w:p>
    <w:p w:rsidR="004F6EB8" w:rsidRPr="00EF1F0B" w:rsidRDefault="004F6EB8" w:rsidP="004F6EB8">
      <w:pPr>
        <w:spacing w:line="360" w:lineRule="auto"/>
        <w:ind w:firstLineChars="213" w:firstLine="639"/>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kern w:val="0"/>
          <w:sz w:val="30"/>
          <w:szCs w:val="30"/>
          <w:lang w:bidi="ar"/>
        </w:rPr>
        <w:t>3.特别评审。</w:t>
      </w:r>
      <w:r w:rsidRPr="00EF1F0B">
        <w:rPr>
          <w:rFonts w:ascii="仿宋" w:eastAsia="仿宋" w:hAnsi="仿宋" w:cs="仿宋" w:hint="eastAsia"/>
          <w:color w:val="000000" w:themeColor="text1"/>
          <w:sz w:val="30"/>
          <w:szCs w:val="30"/>
        </w:rPr>
        <w:t>评委认为某篇论文特别优秀且重复率小于45%，可提请对其进行特别评审，以所有评委对其打分的平均分数列入评选排序，以排名是否在入选名额内决定是否入选</w:t>
      </w:r>
      <w:r w:rsidRPr="00EF1F0B">
        <w:rPr>
          <w:rFonts w:ascii="仿宋" w:eastAsia="仿宋" w:hAnsi="仿宋" w:cs="仿宋" w:hint="eastAsia"/>
          <w:color w:val="000000" w:themeColor="text1"/>
          <w:kern w:val="0"/>
          <w:sz w:val="30"/>
          <w:szCs w:val="30"/>
          <w:lang w:bidi="ar"/>
        </w:rPr>
        <w:t>。每位评委限提名一篇论文特别评审，已进入初评和复评的论文不得提名特别评审。</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kern w:val="0"/>
          <w:sz w:val="30"/>
          <w:szCs w:val="30"/>
          <w:lang w:bidi="ar"/>
        </w:rPr>
      </w:pPr>
      <w:r w:rsidRPr="00EF1F0B">
        <w:rPr>
          <w:rFonts w:ascii="仿宋" w:eastAsia="仿宋" w:hAnsi="仿宋" w:cs="仿宋" w:hint="eastAsia"/>
          <w:color w:val="000000" w:themeColor="text1"/>
          <w:kern w:val="0"/>
          <w:sz w:val="30"/>
          <w:szCs w:val="30"/>
          <w:lang w:bidi="ar"/>
        </w:rPr>
        <w:t>4.确定最终入选优秀论文。评审委员会按照以上标准和评选程序确定最终入选优秀论文名单，所有评委在最终评审结果名单上签字。</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bookmarkStart w:id="1" w:name="OLE_LINK2"/>
      <w:r w:rsidRPr="00EF1F0B">
        <w:rPr>
          <w:rFonts w:ascii="仿宋" w:eastAsia="仿宋" w:hAnsi="仿宋" w:cs="仿宋" w:hint="eastAsia"/>
          <w:color w:val="000000" w:themeColor="text1"/>
          <w:sz w:val="30"/>
          <w:szCs w:val="30"/>
        </w:rPr>
        <w:t>第十一条　征文出现以下情形的不得参评。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（一）论文内容超出行业范围的。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（二）论文来自非会员单位的（以省（市）级协会推荐为准）。</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（三）论文作者是评审委员会成员的。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（四）论文为一稿多投的。</w:t>
      </w:r>
    </w:p>
    <w:p w:rsidR="004F6EB8" w:rsidRPr="00EF1F0B" w:rsidRDefault="004F6EB8" w:rsidP="004F6EB8">
      <w:pPr>
        <w:pStyle w:val="2"/>
        <w:spacing w:line="360" w:lineRule="auto"/>
        <w:ind w:firstLineChars="228" w:firstLine="684"/>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（五）一篇论文署名超过三人的。</w:t>
      </w:r>
    </w:p>
    <w:p w:rsidR="004F6EB8" w:rsidRPr="00EF1F0B" w:rsidRDefault="004F6EB8" w:rsidP="004F6EB8">
      <w:pPr>
        <w:pStyle w:val="2"/>
        <w:spacing w:line="360" w:lineRule="auto"/>
        <w:ind w:firstLineChars="228" w:firstLine="687"/>
        <w:jc w:val="left"/>
        <w:rPr>
          <w:rFonts w:ascii="仿宋" w:eastAsia="仿宋" w:hAnsi="仿宋" w:cs="仿宋"/>
          <w:color w:val="000000" w:themeColor="text1"/>
          <w:sz w:val="30"/>
          <w:szCs w:val="30"/>
        </w:rPr>
      </w:pPr>
      <w:r w:rsidRPr="00EF1F0B">
        <w:rPr>
          <w:rFonts w:ascii="仿宋" w:eastAsia="仿宋" w:hAnsi="仿宋" w:cs="仿宋" w:hint="eastAsia"/>
          <w:b/>
          <w:bCs/>
          <w:color w:val="000000" w:themeColor="text1"/>
          <w:sz w:val="30"/>
          <w:szCs w:val="30"/>
        </w:rPr>
        <w:t>（六）</w:t>
      </w:r>
      <w:r w:rsidRPr="00EF1F0B">
        <w:rPr>
          <w:rFonts w:ascii="仿宋" w:eastAsia="仿宋" w:hAnsi="仿宋" w:cs="仿宋" w:hint="eastAsia"/>
          <w:bCs/>
          <w:color w:val="000000" w:themeColor="text1"/>
          <w:sz w:val="30"/>
          <w:szCs w:val="30"/>
        </w:rPr>
        <w:t>字数不足5000或超过10000的</w:t>
      </w:r>
      <w:r w:rsidRPr="00EF1F0B">
        <w:rPr>
          <w:rFonts w:ascii="仿宋" w:eastAsia="仿宋" w:hAnsi="仿宋" w:cs="仿宋" w:hint="eastAsia"/>
          <w:color w:val="000000" w:themeColor="text1"/>
          <w:sz w:val="30"/>
          <w:szCs w:val="30"/>
        </w:rPr>
        <w:t>。</w:t>
      </w:r>
    </w:p>
    <w:bookmarkEnd w:id="1"/>
    <w:p w:rsidR="004F6EB8" w:rsidRPr="00EF1F0B" w:rsidRDefault="004F6EB8" w:rsidP="004F6EB8">
      <w:pPr>
        <w:pStyle w:val="1"/>
        <w:spacing w:line="360" w:lineRule="auto"/>
        <w:ind w:firstLineChars="192" w:firstLine="576"/>
        <w:jc w:val="left"/>
        <w:rPr>
          <w:rFonts w:ascii="仿宋" w:eastAsia="仿宋" w:hAnsi="仿宋" w:cs="仿宋"/>
          <w:color w:val="000000" w:themeColor="text1"/>
          <w:sz w:val="30"/>
          <w:szCs w:val="30"/>
        </w:rPr>
      </w:pPr>
      <w:r w:rsidRPr="00EF1F0B">
        <w:rPr>
          <w:rFonts w:ascii="仿宋" w:eastAsia="仿宋" w:hAnsi="仿宋" w:cs="仿宋" w:hint="eastAsia"/>
          <w:color w:val="000000" w:themeColor="text1"/>
          <w:sz w:val="30"/>
          <w:szCs w:val="30"/>
        </w:rPr>
        <w:t>第十二条　参评论文字数限5000至10000，格式符合格式范本要求。严禁抄袭、剽窃他人成果，如有发现将取消其论文参评资格，引用部分应注明出处，但字数不得超过40</w:t>
      </w:r>
      <w:r w:rsidRPr="00EF1F0B">
        <w:rPr>
          <w:rFonts w:ascii="仿宋" w:eastAsia="仿宋" w:hAnsi="仿宋" w:cs="仿宋"/>
          <w:color w:val="000000" w:themeColor="text1"/>
          <w:sz w:val="30"/>
          <w:szCs w:val="30"/>
        </w:rPr>
        <w:t>%</w:t>
      </w:r>
      <w:r w:rsidRPr="00EF1F0B">
        <w:rPr>
          <w:rFonts w:ascii="仿宋" w:eastAsia="仿宋" w:hAnsi="仿宋" w:cs="仿宋" w:hint="eastAsia"/>
          <w:color w:val="000000" w:themeColor="text1"/>
          <w:sz w:val="30"/>
          <w:szCs w:val="30"/>
        </w:rPr>
        <w:t>。</w:t>
      </w:r>
    </w:p>
    <w:sectPr w:rsidR="004F6EB8" w:rsidRPr="00EF1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9F0" w:rsidRDefault="008279F0" w:rsidP="004F6EB8">
      <w:r>
        <w:separator/>
      </w:r>
    </w:p>
  </w:endnote>
  <w:endnote w:type="continuationSeparator" w:id="0">
    <w:p w:rsidR="008279F0" w:rsidRDefault="008279F0" w:rsidP="004F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9F0" w:rsidRDefault="008279F0" w:rsidP="004F6EB8">
      <w:r>
        <w:separator/>
      </w:r>
    </w:p>
  </w:footnote>
  <w:footnote w:type="continuationSeparator" w:id="0">
    <w:p w:rsidR="008279F0" w:rsidRDefault="008279F0" w:rsidP="004F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82A1C3"/>
    <w:multiLevelType w:val="singleLevel"/>
    <w:tmpl w:val="D682A1C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58"/>
    <w:rsid w:val="002B3458"/>
    <w:rsid w:val="004F6EB8"/>
    <w:rsid w:val="005E40E8"/>
    <w:rsid w:val="00745B1F"/>
    <w:rsid w:val="008279F0"/>
    <w:rsid w:val="00EF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29CE9"/>
  <w15:chartTrackingRefBased/>
  <w15:docId w15:val="{72506E9F-F219-427D-98BA-0063B755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E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E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6EB8"/>
    <w:rPr>
      <w:sz w:val="18"/>
      <w:szCs w:val="18"/>
    </w:rPr>
  </w:style>
  <w:style w:type="paragraph" w:styleId="a5">
    <w:name w:val="footer"/>
    <w:basedOn w:val="a"/>
    <w:link w:val="a6"/>
    <w:uiPriority w:val="99"/>
    <w:unhideWhenUsed/>
    <w:rsid w:val="004F6EB8"/>
    <w:pPr>
      <w:tabs>
        <w:tab w:val="center" w:pos="4153"/>
        <w:tab w:val="right" w:pos="8306"/>
      </w:tabs>
      <w:snapToGrid w:val="0"/>
      <w:jc w:val="left"/>
    </w:pPr>
    <w:rPr>
      <w:sz w:val="18"/>
      <w:szCs w:val="18"/>
    </w:rPr>
  </w:style>
  <w:style w:type="character" w:customStyle="1" w:styleId="a6">
    <w:name w:val="页脚 字符"/>
    <w:basedOn w:val="a0"/>
    <w:link w:val="a5"/>
    <w:uiPriority w:val="99"/>
    <w:rsid w:val="004F6EB8"/>
    <w:rPr>
      <w:sz w:val="18"/>
      <w:szCs w:val="18"/>
    </w:rPr>
  </w:style>
  <w:style w:type="paragraph" w:customStyle="1" w:styleId="1">
    <w:name w:val="列出段落1"/>
    <w:basedOn w:val="a"/>
    <w:uiPriority w:val="34"/>
    <w:qFormat/>
    <w:rsid w:val="004F6EB8"/>
    <w:pPr>
      <w:ind w:firstLineChars="200" w:firstLine="420"/>
    </w:pPr>
  </w:style>
  <w:style w:type="paragraph" w:customStyle="1" w:styleId="2">
    <w:name w:val="列出段落2"/>
    <w:basedOn w:val="a"/>
    <w:uiPriority w:val="34"/>
    <w:qFormat/>
    <w:rsid w:val="004F6EB8"/>
    <w:pPr>
      <w:ind w:firstLineChars="200" w:firstLine="420"/>
    </w:pPr>
  </w:style>
  <w:style w:type="character" w:styleId="a7">
    <w:name w:val="Hyperlink"/>
    <w:basedOn w:val="a0"/>
    <w:rsid w:val="005E40E8"/>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352</Words>
  <Characters>2010</Characters>
  <Application>Microsoft Office Word</Application>
  <DocSecurity>0</DocSecurity>
  <Lines>16</Lines>
  <Paragraphs>4</Paragraphs>
  <ScaleCrop>false</ScaleCrop>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1Q-2-4-07  杨桂珍</dc:creator>
  <cp:keywords/>
  <dc:description/>
  <cp:lastModifiedBy>1Q-2-4-07  杨桂珍</cp:lastModifiedBy>
  <cp:revision>5</cp:revision>
  <dcterms:created xsi:type="dcterms:W3CDTF">2021-03-31T04:39:00Z</dcterms:created>
  <dcterms:modified xsi:type="dcterms:W3CDTF">2021-03-31T04:53:00Z</dcterms:modified>
</cp:coreProperties>
</file>