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055BD">
      <w:pPr>
        <w:ind w:firstLine="420" w:firstLineChars="200"/>
      </w:pPr>
    </w:p>
    <w:p w14:paraId="6D53B46C">
      <w:pPr>
        <w:jc w:val="center"/>
        <w:rPr>
          <w:rFonts w:ascii="黑体" w:eastAsia="黑体"/>
          <w:sz w:val="36"/>
          <w:szCs w:val="36"/>
        </w:rPr>
      </w:pPr>
      <w:bookmarkStart w:id="0" w:name="_Hlk68174791"/>
      <w:r>
        <w:rPr>
          <w:rFonts w:hint="eastAsia" w:ascii="黑体" w:eastAsia="黑体"/>
          <w:sz w:val="36"/>
          <w:szCs w:val="36"/>
        </w:rPr>
        <w:t>关</w:t>
      </w:r>
      <w:bookmarkStart w:id="1" w:name="OLE_LINK9"/>
      <w:r>
        <w:rPr>
          <w:rFonts w:hint="eastAsia" w:ascii="黑体" w:eastAsia="黑体"/>
          <w:sz w:val="36"/>
          <w:szCs w:val="36"/>
        </w:rPr>
        <w:t>于召开“信心如磐，合力向新”2025建设监理创新发展交流会（第十届）的通知</w:t>
      </w:r>
    </w:p>
    <w:bookmarkEnd w:id="0"/>
    <w:bookmarkEnd w:id="1"/>
    <w:p w14:paraId="16A22ECC"/>
    <w:p w14:paraId="665DB6B7">
      <w:pPr>
        <w:pStyle w:val="5"/>
        <w:shd w:val="clear" w:color="auto" w:fill="FFFFFF"/>
        <w:spacing w:before="0" w:beforeAutospacing="0" w:after="0" w:afterAutospacing="0" w:line="500" w:lineRule="exact"/>
        <w:rPr>
          <w:rFonts w:hint="eastAsia" w:ascii="宋体" w:hAnsi="宋体" w:eastAsia="宋体" w:cs="宋体"/>
          <w:b/>
          <w:bCs/>
          <w:color w:val="333333"/>
          <w:sz w:val="28"/>
          <w:szCs w:val="28"/>
        </w:rPr>
      </w:pPr>
      <w:bookmarkStart w:id="2" w:name="OLE_LINK1"/>
      <w:r>
        <w:rPr>
          <w:rFonts w:hint="eastAsia" w:ascii="宋体" w:hAnsi="宋体" w:eastAsia="宋体" w:cs="宋体"/>
          <w:b/>
          <w:bCs/>
          <w:color w:val="333333"/>
          <w:sz w:val="28"/>
          <w:szCs w:val="28"/>
        </w:rPr>
        <w:t>各相关单位：</w:t>
      </w:r>
    </w:p>
    <w:p w14:paraId="0684FD8A">
      <w:pPr>
        <w:pStyle w:val="5"/>
        <w:shd w:val="clear" w:color="auto" w:fill="FFFFFF"/>
        <w:spacing w:before="0" w:beforeAutospacing="0" w:after="0" w:afterAutospacing="0" w:line="500" w:lineRule="exac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自1988年我国建设监理制度试点并全面推广以来，建设监理行业已走过三十余载。从无到有，从点到面，建设监理事业始终与国家建设同行，守护着工程的质量与安全。三十多年风雨兼程，行业既历经曲折与考验，也积蓄了坚韧的力量与宝贵的经验。</w:t>
      </w:r>
    </w:p>
    <w:p w14:paraId="7BDF3FB5">
      <w:pPr>
        <w:pStyle w:val="5"/>
        <w:shd w:val="clear" w:color="auto" w:fill="FFFFFF"/>
        <w:spacing w:before="0" w:beforeAutospacing="0" w:after="0" w:afterAutospacing="0" w:line="500" w:lineRule="exac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2025年，是“建设监理创新发展交流会”举办的第十个年头，也是《建设监理》杂志创刊35周年。</w:t>
      </w:r>
      <w:bookmarkStart w:id="3" w:name="_Hlk147921521"/>
      <w:r>
        <w:rPr>
          <w:rFonts w:hint="eastAsia" w:ascii="宋体" w:hAnsi="宋体" w:eastAsia="宋体" w:cs="宋体"/>
          <w:color w:val="333333"/>
          <w:sz w:val="28"/>
          <w:szCs w:val="28"/>
        </w:rPr>
        <w:t>历届的交流会见证了行业在改革与挑战中的探索，也汇聚了无数监理人的智慧与担当，成为推动行业进步的重要平台。</w:t>
      </w:r>
    </w:p>
    <w:p w14:paraId="6D1B96DE">
      <w:pPr>
        <w:pStyle w:val="5"/>
        <w:shd w:val="clear" w:color="auto" w:fill="FFFFFF"/>
        <w:spacing w:before="0" w:beforeAutospacing="0" w:after="0" w:afterAutospacing="0" w:line="500" w:lineRule="exac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“信心如磐 合力向新”，这是我们对当下与未来的共同注解。当外部环境复杂多变，行业发展承压前行，信心让我们保持定力，坚守专业，勇于创新；信心让我们在新技术、新模式的驱动下开拓边界，孕育生机。</w:t>
      </w:r>
    </w:p>
    <w:p w14:paraId="0F5BB2DF">
      <w:pPr>
        <w:pStyle w:val="5"/>
        <w:shd w:val="clear" w:color="auto" w:fill="FFFFFF"/>
        <w:spacing w:before="0" w:beforeAutospacing="0" w:after="0" w:afterAutospacing="0" w:line="500" w:lineRule="exac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站在“十年”的里程碑上，回望是为了更好地出发。“2025建设监理创新发展交流会”（第十届）定于2025年10月30日—10月31日在江苏南京隆重举办。此次交流会由江苏省建设监理与招投标协会和上海建科咨询集团股份有限公司主办，将以过去的具体成果为基础，</w:t>
      </w:r>
      <w:bookmarkEnd w:id="3"/>
      <w:r>
        <w:rPr>
          <w:rFonts w:hint="eastAsia" w:ascii="宋体" w:hAnsi="宋体" w:eastAsia="宋体" w:cs="宋体"/>
          <w:color w:val="333333"/>
          <w:sz w:val="28"/>
          <w:szCs w:val="28"/>
        </w:rPr>
        <w:t>邀请行业内专注于监理咨询行业发展的专家、学者、企业管理者等，聚焦当前行业热点、难点、痛点，共商破局之道、增长之策、向新之路。</w:t>
      </w:r>
    </w:p>
    <w:p w14:paraId="13AC288A">
      <w:pPr>
        <w:pStyle w:val="5"/>
        <w:shd w:val="clear" w:color="auto" w:fill="FFFFFF"/>
        <w:spacing w:before="0" w:beforeAutospacing="0" w:after="0" w:afterAutospacing="0" w:line="500" w:lineRule="exac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 xml:space="preserve">我们坚信：在信心的凝聚下，建设监理行业必将继续以专业立身，以创新图强，在服务国家战略、推动高质量发展的进程中，迎来更加广阔的未来。 </w:t>
      </w:r>
    </w:p>
    <w:p w14:paraId="2D1AE3A5">
      <w:pPr>
        <w:pStyle w:val="5"/>
        <w:shd w:val="clear" w:color="auto" w:fill="FFFFFF"/>
        <w:spacing w:before="0" w:beforeAutospacing="0" w:after="0" w:afterAutospacing="0" w:line="500" w:lineRule="exact"/>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敬请莅临参会！</w:t>
      </w:r>
    </w:p>
    <w:bookmarkEnd w:id="2"/>
    <w:p w14:paraId="539DD837">
      <w:pPr>
        <w:pStyle w:val="5"/>
        <w:shd w:val="clear" w:color="auto" w:fill="FFFFFF"/>
        <w:spacing w:before="0" w:beforeAutospacing="0" w:after="0" w:afterAutospacing="0" w:line="440" w:lineRule="exact"/>
        <w:ind w:firstLine="560" w:firstLineChars="200"/>
        <w:jc w:val="both"/>
        <w:rPr>
          <w:rFonts w:hint="eastAsia" w:ascii="宋体" w:hAnsi="宋体" w:eastAsia="宋体" w:cs="宋体"/>
          <w:color w:val="333333"/>
          <w:sz w:val="28"/>
          <w:szCs w:val="28"/>
        </w:rPr>
      </w:pPr>
    </w:p>
    <w:p w14:paraId="5E29779C">
      <w:pPr>
        <w:spacing w:line="380" w:lineRule="exact"/>
        <w:rPr>
          <w:rFonts w:hint="eastAsia" w:ascii="宋体" w:hAnsi="宋体" w:eastAsia="宋体" w:cs="宋体"/>
          <w:b/>
          <w:sz w:val="28"/>
          <w:szCs w:val="28"/>
        </w:rPr>
      </w:pPr>
      <w:r>
        <w:rPr>
          <w:rFonts w:hint="eastAsia" w:ascii="宋体" w:hAnsi="宋体" w:eastAsia="宋体" w:cs="宋体"/>
          <w:b/>
          <w:sz w:val="28"/>
          <w:szCs w:val="28"/>
        </w:rPr>
        <w:t>会议信息：</w:t>
      </w:r>
    </w:p>
    <w:p w14:paraId="1F6A9887">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会议主题：信心如磐，合力向新</w:t>
      </w:r>
    </w:p>
    <w:p w14:paraId="08125620">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 xml:space="preserve">会议时间：2025年10月30日—31日 </w:t>
      </w:r>
    </w:p>
    <w:p w14:paraId="3EE3DB09">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报到时间：2025年10月29日 下午 13:00—22:00</w:t>
      </w:r>
    </w:p>
    <w:p w14:paraId="12D9E12B">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会议地点：江苏南京  南京雨润涵月楼酒店（江苏省南京市建邺区江东中路235号）</w:t>
      </w:r>
    </w:p>
    <w:p w14:paraId="4A8CB2B3">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p>
    <w:p w14:paraId="732B4AC6">
      <w:pPr>
        <w:spacing w:line="380" w:lineRule="exact"/>
        <w:rPr>
          <w:rFonts w:hint="eastAsia" w:ascii="宋体" w:hAnsi="宋体" w:eastAsia="宋体" w:cs="宋体"/>
          <w:b/>
          <w:sz w:val="28"/>
          <w:szCs w:val="28"/>
        </w:rPr>
      </w:pPr>
      <w:bookmarkStart w:id="4" w:name="_Hlk16685064"/>
      <w:r>
        <w:rPr>
          <w:rFonts w:hint="eastAsia" w:ascii="宋体" w:hAnsi="宋体" w:eastAsia="宋体" w:cs="宋体"/>
          <w:b/>
          <w:sz w:val="28"/>
          <w:szCs w:val="28"/>
        </w:rPr>
        <w:t>会议组织：</w:t>
      </w:r>
    </w:p>
    <w:bookmarkEnd w:id="4"/>
    <w:p w14:paraId="534583F5">
      <w:pPr>
        <w:spacing w:line="440" w:lineRule="exact"/>
        <w:ind w:firstLine="562" w:firstLineChars="200"/>
        <w:rPr>
          <w:rFonts w:hint="eastAsia" w:ascii="宋体" w:hAnsi="宋体" w:eastAsia="宋体" w:cs="宋体"/>
          <w:b/>
          <w:bCs/>
          <w:sz w:val="28"/>
          <w:szCs w:val="28"/>
        </w:rPr>
      </w:pPr>
      <w:bookmarkStart w:id="5" w:name="OLE_LINK2"/>
      <w:r>
        <w:rPr>
          <w:rFonts w:hint="eastAsia" w:ascii="宋体" w:hAnsi="宋体" w:eastAsia="宋体" w:cs="宋体"/>
          <w:b/>
          <w:bCs/>
          <w:sz w:val="28"/>
          <w:szCs w:val="28"/>
        </w:rPr>
        <w:t>主办单位：</w:t>
      </w:r>
      <w:r>
        <w:rPr>
          <w:rFonts w:hint="eastAsia" w:ascii="宋体" w:hAnsi="宋体" w:eastAsia="宋体" w:cs="宋体"/>
          <w:b/>
          <w:bCs/>
          <w:color w:val="333333"/>
          <w:sz w:val="28"/>
          <w:szCs w:val="28"/>
        </w:rPr>
        <w:t>江苏省建设监理与招投标协会</w:t>
      </w:r>
    </w:p>
    <w:p w14:paraId="70D57F7B">
      <w:pPr>
        <w:spacing w:line="440" w:lineRule="exact"/>
        <w:ind w:firstLine="1968" w:firstLineChars="700"/>
        <w:rPr>
          <w:rFonts w:hint="eastAsia" w:ascii="宋体" w:hAnsi="宋体" w:eastAsia="宋体" w:cs="宋体"/>
          <w:b/>
          <w:bCs/>
          <w:sz w:val="28"/>
          <w:szCs w:val="28"/>
        </w:rPr>
      </w:pPr>
      <w:r>
        <w:rPr>
          <w:rFonts w:hint="eastAsia" w:ascii="宋体" w:hAnsi="宋体" w:eastAsia="宋体" w:cs="宋体"/>
          <w:b/>
          <w:bCs/>
          <w:sz w:val="28"/>
          <w:szCs w:val="28"/>
        </w:rPr>
        <w:t>上海建科咨询集团股份有限公司</w:t>
      </w:r>
    </w:p>
    <w:p w14:paraId="2AD5F1B8">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承办单位：《建设监理》杂志</w:t>
      </w:r>
    </w:p>
    <w:p w14:paraId="064212A5">
      <w:pPr>
        <w:spacing w:line="440" w:lineRule="exact"/>
        <w:ind w:firstLine="1968" w:firstLineChars="700"/>
        <w:rPr>
          <w:rFonts w:hint="eastAsia" w:ascii="宋体" w:hAnsi="宋体" w:eastAsia="宋体" w:cs="宋体"/>
          <w:b/>
          <w:bCs/>
          <w:sz w:val="28"/>
          <w:szCs w:val="28"/>
        </w:rPr>
      </w:pPr>
      <w:r>
        <w:rPr>
          <w:rFonts w:hint="eastAsia" w:ascii="宋体" w:hAnsi="宋体" w:eastAsia="宋体" w:cs="宋体"/>
          <w:b/>
          <w:bCs/>
          <w:sz w:val="28"/>
          <w:szCs w:val="28"/>
        </w:rPr>
        <w:t>中邮通建设咨询有限公司</w:t>
      </w:r>
    </w:p>
    <w:p w14:paraId="6D941541">
      <w:pPr>
        <w:spacing w:line="440" w:lineRule="exact"/>
        <w:ind w:firstLine="1968" w:firstLineChars="700"/>
        <w:rPr>
          <w:rFonts w:hint="eastAsia" w:ascii="宋体" w:hAnsi="宋体" w:eastAsia="宋体" w:cs="宋体"/>
          <w:b/>
          <w:bCs/>
          <w:sz w:val="28"/>
          <w:szCs w:val="28"/>
        </w:rPr>
      </w:pPr>
      <w:r>
        <w:rPr>
          <w:rFonts w:hint="eastAsia" w:ascii="宋体" w:hAnsi="宋体" w:eastAsia="宋体" w:cs="宋体"/>
          <w:b/>
          <w:bCs/>
          <w:sz w:val="28"/>
          <w:szCs w:val="28"/>
        </w:rPr>
        <w:t>广东世纪信通科技股份有限公司</w:t>
      </w:r>
    </w:p>
    <w:p w14:paraId="03287F4C">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协办</w:t>
      </w:r>
      <w:r>
        <w:rPr>
          <w:rFonts w:hint="eastAsia" w:ascii="宋体" w:hAnsi="宋体" w:eastAsia="宋体" w:cs="宋体"/>
          <w:b/>
          <w:bCs/>
          <w:sz w:val="28"/>
          <w:szCs w:val="28"/>
        </w:rPr>
        <w:t>单位：上海建科工程咨询有限公司</w:t>
      </w:r>
    </w:p>
    <w:p w14:paraId="0D475AFA">
      <w:pPr>
        <w:pStyle w:val="5"/>
        <w:shd w:val="clear" w:color="auto" w:fill="FFFFFF"/>
        <w:spacing w:before="0" w:beforeAutospacing="0" w:after="0" w:afterAutospacing="0" w:line="440" w:lineRule="exact"/>
        <w:ind w:firstLine="1968" w:firstLineChars="700"/>
        <w:jc w:val="both"/>
        <w:rPr>
          <w:rFonts w:hint="eastAsia" w:ascii="宋体" w:hAnsi="宋体" w:eastAsia="宋体" w:cs="宋体"/>
          <w:b/>
          <w:bCs/>
          <w:sz w:val="28"/>
          <w:szCs w:val="28"/>
        </w:rPr>
      </w:pPr>
      <w:r>
        <w:rPr>
          <w:rFonts w:hint="eastAsia" w:ascii="宋体" w:hAnsi="宋体" w:eastAsia="宋体" w:cs="宋体"/>
          <w:b/>
          <w:bCs/>
          <w:sz w:val="28"/>
          <w:szCs w:val="28"/>
        </w:rPr>
        <w:t>无锡建设监理咨询有限公司</w:t>
      </w:r>
    </w:p>
    <w:bookmarkEnd w:id="5"/>
    <w:p w14:paraId="75080313">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sz w:val="28"/>
          <w:szCs w:val="28"/>
        </w:rPr>
      </w:pPr>
    </w:p>
    <w:p w14:paraId="62A93F79">
      <w:pPr>
        <w:spacing w:line="380" w:lineRule="exact"/>
        <w:rPr>
          <w:rFonts w:hint="eastAsia" w:ascii="宋体" w:hAnsi="宋体" w:eastAsia="宋体" w:cs="宋体"/>
          <w:b/>
          <w:sz w:val="28"/>
          <w:szCs w:val="28"/>
        </w:rPr>
      </w:pPr>
      <w:r>
        <w:rPr>
          <w:rFonts w:hint="eastAsia" w:ascii="宋体" w:hAnsi="宋体" w:eastAsia="宋体" w:cs="宋体"/>
          <w:b/>
          <w:sz w:val="28"/>
          <w:szCs w:val="28"/>
        </w:rPr>
        <w:t>主要议程：</w:t>
      </w:r>
    </w:p>
    <w:p w14:paraId="512B8B56">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30日上午（9:00-11:30）：</w:t>
      </w:r>
    </w:p>
    <w:p w14:paraId="4B56757F">
      <w:pPr>
        <w:spacing w:line="44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9:00-9:15    嘉宾致辞</w:t>
      </w:r>
    </w:p>
    <w:p w14:paraId="637E9F53">
      <w:pPr>
        <w:spacing w:line="44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9:15-10:00   中国建设监理协会领导发言</w:t>
      </w:r>
    </w:p>
    <w:p w14:paraId="5AB4D0CD">
      <w:pPr>
        <w:spacing w:line="44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10:00-11:30  主旨演讲</w:t>
      </w:r>
    </w:p>
    <w:p w14:paraId="47231401">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30日下午（1:30-5:30）：</w:t>
      </w:r>
    </w:p>
    <w:p w14:paraId="1182111D">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1:30-5:30    专题演讲</w:t>
      </w:r>
    </w:p>
    <w:p w14:paraId="27DD6BE4">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31日上午（9:00-11:30）：</w:t>
      </w:r>
    </w:p>
    <w:p w14:paraId="75688160">
      <w:pPr>
        <w:spacing w:line="44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 xml:space="preserve">9:00-11:30   </w:t>
      </w:r>
      <w:bookmarkStart w:id="6" w:name="OLE_LINK7"/>
      <w:r>
        <w:rPr>
          <w:rFonts w:hint="eastAsia" w:ascii="宋体" w:hAnsi="宋体" w:eastAsia="宋体" w:cs="宋体"/>
          <w:sz w:val="28"/>
          <w:szCs w:val="28"/>
        </w:rPr>
        <w:t>专题论坛</w:t>
      </w:r>
    </w:p>
    <w:p w14:paraId="45F8B80B">
      <w:pPr>
        <w:spacing w:line="4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31日下午</w:t>
      </w:r>
      <w:r>
        <w:rPr>
          <w:rFonts w:hint="eastAsia" w:ascii="宋体" w:hAnsi="宋体" w:eastAsia="宋体" w:cs="宋体"/>
          <w:b/>
          <w:bCs/>
          <w:sz w:val="28"/>
          <w:szCs w:val="28"/>
          <w:lang w:eastAsia="zh-CN"/>
        </w:rPr>
        <w:t>（</w:t>
      </w:r>
      <w:r>
        <w:rPr>
          <w:rFonts w:hint="eastAsia" w:ascii="宋体" w:hAnsi="宋体" w:eastAsia="宋体" w:cs="宋体"/>
          <w:b/>
          <w:bCs/>
          <w:sz w:val="28"/>
          <w:szCs w:val="28"/>
        </w:rPr>
        <w:t>1:30-4:30</w:t>
      </w:r>
      <w:r>
        <w:rPr>
          <w:rFonts w:hint="eastAsia" w:ascii="宋体" w:hAnsi="宋体" w:eastAsia="宋体" w:cs="宋体"/>
          <w:b/>
          <w:bCs/>
          <w:sz w:val="28"/>
          <w:szCs w:val="28"/>
          <w:lang w:eastAsia="zh-CN"/>
        </w:rPr>
        <w:t>）：</w:t>
      </w:r>
    </w:p>
    <w:p w14:paraId="63B599A7">
      <w:pPr>
        <w:spacing w:line="44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专题论坛</w:t>
      </w:r>
      <w:r>
        <w:rPr>
          <w:rFonts w:hint="eastAsia" w:ascii="宋体" w:hAnsi="宋体" w:eastAsia="宋体" w:cs="宋体"/>
          <w:sz w:val="28"/>
          <w:szCs w:val="28"/>
          <w:lang w:eastAsia="zh-CN"/>
        </w:rPr>
        <w:t>：</w:t>
      </w:r>
      <w:r>
        <w:rPr>
          <w:rFonts w:hint="eastAsia" w:ascii="宋体" w:hAnsi="宋体" w:eastAsia="宋体" w:cs="宋体"/>
          <w:sz w:val="28"/>
          <w:szCs w:val="28"/>
        </w:rPr>
        <w:t>AI赋能</w:t>
      </w:r>
      <w:r>
        <w:rPr>
          <w:rFonts w:hint="eastAsia" w:ascii="宋体" w:hAnsi="宋体" w:eastAsia="宋体" w:cs="宋体"/>
          <w:sz w:val="28"/>
          <w:szCs w:val="28"/>
          <w:lang w:eastAsia="zh-CN"/>
        </w:rPr>
        <w:t>：</w:t>
      </w:r>
      <w:r>
        <w:rPr>
          <w:rFonts w:hint="eastAsia" w:ascii="宋体" w:hAnsi="宋体" w:eastAsia="宋体" w:cs="宋体"/>
          <w:sz w:val="28"/>
          <w:szCs w:val="28"/>
        </w:rPr>
        <w:t>打造监理咨询企业专属的</w:t>
      </w:r>
      <w:r>
        <w:rPr>
          <w:rFonts w:hint="eastAsia" w:ascii="宋体" w:hAnsi="宋体" w:eastAsia="宋体" w:cs="宋体"/>
          <w:sz w:val="28"/>
          <w:szCs w:val="28"/>
          <w:lang w:eastAsia="zh-CN"/>
        </w:rPr>
        <w:t>“</w:t>
      </w:r>
      <w:r>
        <w:rPr>
          <w:rFonts w:hint="eastAsia" w:ascii="宋体" w:hAnsi="宋体" w:eastAsia="宋体" w:cs="宋体"/>
          <w:sz w:val="28"/>
          <w:szCs w:val="28"/>
        </w:rPr>
        <w:t>数字专家</w:t>
      </w:r>
      <w:r>
        <w:rPr>
          <w:rFonts w:hint="eastAsia" w:ascii="宋体" w:hAnsi="宋体" w:eastAsia="宋体" w:cs="宋体"/>
          <w:sz w:val="28"/>
          <w:szCs w:val="28"/>
          <w:lang w:eastAsia="zh-CN"/>
        </w:rPr>
        <w:t>”</w:t>
      </w:r>
      <w:r>
        <w:rPr>
          <w:rFonts w:hint="eastAsia" w:ascii="宋体" w:hAnsi="宋体" w:eastAsia="宋体" w:cs="宋体"/>
          <w:sz w:val="28"/>
          <w:szCs w:val="28"/>
        </w:rPr>
        <w:t>与</w:t>
      </w:r>
      <w:r>
        <w:rPr>
          <w:rFonts w:hint="eastAsia" w:ascii="宋体" w:hAnsi="宋体" w:eastAsia="宋体" w:cs="宋体"/>
          <w:sz w:val="28"/>
          <w:szCs w:val="28"/>
          <w:lang w:eastAsia="zh-CN"/>
        </w:rPr>
        <w:t>“</w:t>
      </w:r>
      <w:r>
        <w:rPr>
          <w:rFonts w:hint="eastAsia" w:ascii="宋体" w:hAnsi="宋体" w:eastAsia="宋体" w:cs="宋体"/>
          <w:sz w:val="28"/>
          <w:szCs w:val="28"/>
        </w:rPr>
        <w:t>超级员工</w:t>
      </w:r>
      <w:r>
        <w:rPr>
          <w:rFonts w:hint="eastAsia" w:ascii="宋体" w:hAnsi="宋体" w:eastAsia="宋体" w:cs="宋体"/>
          <w:sz w:val="28"/>
          <w:szCs w:val="28"/>
          <w:lang w:eastAsia="zh-CN"/>
        </w:rPr>
        <w:t>”</w:t>
      </w:r>
    </w:p>
    <w:bookmarkEnd w:id="6"/>
    <w:p w14:paraId="147D395F">
      <w:pPr>
        <w:spacing w:line="380" w:lineRule="exact"/>
        <w:rPr>
          <w:rFonts w:hint="eastAsia" w:ascii="宋体" w:hAnsi="宋体" w:eastAsia="宋体" w:cs="宋体"/>
          <w:b/>
          <w:sz w:val="24"/>
          <w:szCs w:val="24"/>
        </w:rPr>
      </w:pPr>
      <w:bookmarkStart w:id="7" w:name="OLE_LINK3"/>
      <w:r>
        <w:rPr>
          <w:rFonts w:hint="eastAsia" w:ascii="宋体" w:hAnsi="宋体" w:eastAsia="宋体" w:cs="宋体"/>
          <w:b/>
          <w:sz w:val="24"/>
          <w:szCs w:val="24"/>
        </w:rPr>
        <w:t>演讲嘉宾名单（部分）</w:t>
      </w:r>
      <w:bookmarkEnd w:id="7"/>
      <w:r>
        <w:rPr>
          <w:rFonts w:hint="eastAsia" w:ascii="宋体" w:hAnsi="宋体" w:eastAsia="宋体" w:cs="宋体"/>
          <w:b/>
          <w:sz w:val="24"/>
          <w:szCs w:val="24"/>
        </w:rPr>
        <w:t>：</w:t>
      </w:r>
    </w:p>
    <w:p w14:paraId="57E6455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bookmarkStart w:id="8" w:name="OLE_LINK4"/>
      <w:r>
        <w:rPr>
          <w:rFonts w:hint="eastAsia" w:ascii="宋体" w:hAnsi="宋体" w:eastAsia="宋体" w:cs="宋体"/>
          <w:b/>
          <w:bCs/>
          <w:sz w:val="28"/>
          <w:szCs w:val="28"/>
        </w:rPr>
        <w:t>中国建设监理协会领导</w:t>
      </w:r>
    </w:p>
    <w:p w14:paraId="72B2095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陈  贵（江苏省建设监理与招投标协会 会长）</w:t>
      </w:r>
    </w:p>
    <w:p w14:paraId="1A16F2DB">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李德智 （东南大学土木工程学院党委委员、副院长、博导）</w:t>
      </w:r>
    </w:p>
    <w:p w14:paraId="15200A4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何清华 （同济大学经济与管理学院建设管理与房地产系教授，博导）</w:t>
      </w:r>
    </w:p>
    <w:p w14:paraId="3ACA103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郁  勇 （上海建科工程咨询有限公司 总经理）</w:t>
      </w:r>
    </w:p>
    <w:p w14:paraId="1EAE9AD7">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林  珂 （中邮通建设咨询有限公司党委委员、副总经理）</w:t>
      </w:r>
    </w:p>
    <w:p w14:paraId="56D7D900">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金桂明 （浙江江南工程管理股份有限公司 副总裁、江南管理学院院长）</w:t>
      </w:r>
    </w:p>
    <w:p w14:paraId="31CE6EBA">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汪  洋 （棪创科技（重庆）有限公司首席数智官，同炎数智科技（重庆）有限公司执行董事）</w:t>
      </w:r>
    </w:p>
    <w:p w14:paraId="46839CA5">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李宗峰 （方大国际工程咨询股份有限公司 董事长）</w:t>
      </w:r>
    </w:p>
    <w:p w14:paraId="081623C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司明文 （广东世纪信通科技股份有限公司 副总经理）</w:t>
      </w:r>
    </w:p>
    <w:p w14:paraId="528EA87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昝日成 （上海天佑工程咨询有限公司 副总经理、哈萨克斯坦分公司经理）</w:t>
      </w:r>
    </w:p>
    <w:p w14:paraId="55C00F2B">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徐  枫 （浙江明康工程咨询有限公司 总裁）</w:t>
      </w:r>
    </w:p>
    <w:p w14:paraId="612EC7FB">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易怀林 河南省建设监理协会中小监理企业发展委员会主任委员，</w:t>
      </w:r>
    </w:p>
    <w:p w14:paraId="3ACA30B2">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中易达工程咨询有限公司董事长</w:t>
      </w:r>
    </w:p>
    <w:p w14:paraId="1C97F730">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更多嘉宾陆续确认中……</w:t>
      </w:r>
    </w:p>
    <w:bookmarkEnd w:id="8"/>
    <w:p w14:paraId="0823580F">
      <w:pPr>
        <w:spacing w:line="440" w:lineRule="exact"/>
        <w:rPr>
          <w:rFonts w:hint="eastAsia" w:ascii="宋体" w:hAnsi="宋体" w:eastAsia="宋体" w:cs="宋体"/>
          <w:b/>
          <w:bCs/>
          <w:sz w:val="28"/>
          <w:szCs w:val="28"/>
        </w:rPr>
      </w:pPr>
    </w:p>
    <w:p w14:paraId="17EC8972">
      <w:pPr>
        <w:spacing w:line="380" w:lineRule="exact"/>
        <w:rPr>
          <w:rFonts w:hint="eastAsia" w:ascii="宋体" w:hAnsi="宋体" w:eastAsia="宋体" w:cs="宋体"/>
          <w:b/>
          <w:sz w:val="28"/>
          <w:szCs w:val="28"/>
        </w:rPr>
      </w:pPr>
      <w:r>
        <w:rPr>
          <w:rFonts w:hint="eastAsia" w:ascii="宋体" w:hAnsi="宋体" w:eastAsia="宋体" w:cs="宋体"/>
          <w:b/>
          <w:sz w:val="28"/>
          <w:szCs w:val="28"/>
        </w:rPr>
        <w:t>主题演讲内容（部分）：</w:t>
      </w:r>
    </w:p>
    <w:p w14:paraId="6D5E84E0">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bookmarkStart w:id="9" w:name="OLE_LINK5"/>
      <w:r>
        <w:rPr>
          <w:rFonts w:hint="eastAsia" w:ascii="宋体" w:hAnsi="宋体" w:eastAsia="宋体" w:cs="宋体"/>
          <w:b/>
          <w:bCs/>
          <w:color w:val="333333"/>
          <w:sz w:val="28"/>
          <w:szCs w:val="28"/>
        </w:rPr>
        <w:t>新形势下工程监理咨询行业宏观发展趋势</w:t>
      </w:r>
    </w:p>
    <w:p w14:paraId="186AEE95">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以全过程工程咨询提升项目价值与监理企业核心竞争力</w:t>
      </w:r>
    </w:p>
    <w:p w14:paraId="5C71B044">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新发展格局下监理工作的责任边界与履职创新</w:t>
      </w:r>
    </w:p>
    <w:p w14:paraId="77FD4F41">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中国监理企业开拓国际市场的风险应对与成功之道</w:t>
      </w:r>
    </w:p>
    <w:p w14:paraId="49A49746">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数智创新  赋能出海</w:t>
      </w:r>
    </w:p>
    <w:p w14:paraId="0DD4CC14">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监理企业信息化、智能化建设的战略规划与落地应用</w:t>
      </w:r>
    </w:p>
    <w:p w14:paraId="36B62661">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AI赋能：打造监理咨询企业专属的“数字专家”与“超级员工”</w:t>
      </w:r>
    </w:p>
    <w:p w14:paraId="71CF7180">
      <w:pPr>
        <w:pStyle w:val="5"/>
        <w:shd w:val="clear" w:color="auto" w:fill="FFFFFF"/>
        <w:spacing w:before="0" w:beforeAutospacing="0" w:after="0" w:afterAutospacing="0" w:line="440" w:lineRule="exact"/>
        <w:ind w:firstLine="562" w:firstLineChars="200"/>
        <w:jc w:val="both"/>
        <w:rPr>
          <w:rFonts w:hint="eastAsia" w:ascii="宋体" w:hAnsi="宋体" w:eastAsia="宋体" w:cs="宋体"/>
          <w:b/>
          <w:bCs/>
          <w:color w:val="333333"/>
          <w:sz w:val="28"/>
          <w:szCs w:val="28"/>
        </w:rPr>
      </w:pPr>
      <w:r>
        <w:rPr>
          <w:rFonts w:hint="eastAsia" w:ascii="宋体" w:hAnsi="宋体" w:eastAsia="宋体" w:cs="宋体"/>
          <w:b/>
          <w:bCs/>
          <w:color w:val="333333"/>
          <w:sz w:val="28"/>
          <w:szCs w:val="28"/>
        </w:rPr>
        <w:t>更多演讲主题陆续确认中……</w:t>
      </w:r>
    </w:p>
    <w:bookmarkEnd w:id="9"/>
    <w:p w14:paraId="5F9914DF">
      <w:pPr>
        <w:spacing w:line="380" w:lineRule="exact"/>
        <w:rPr>
          <w:rFonts w:hint="eastAsia" w:ascii="宋体" w:hAnsi="宋体" w:eastAsia="宋体" w:cs="宋体"/>
          <w:b/>
          <w:sz w:val="24"/>
          <w:szCs w:val="24"/>
        </w:rPr>
      </w:pPr>
      <w:bookmarkStart w:id="10" w:name="OLE_LINK8"/>
      <w:r>
        <w:rPr>
          <w:rFonts w:hint="eastAsia" w:ascii="宋体" w:hAnsi="宋体" w:eastAsia="宋体" w:cs="宋体"/>
          <w:b/>
          <w:sz w:val="24"/>
          <w:szCs w:val="24"/>
        </w:rPr>
        <w:t>专题论坛演讲内容（部分）：</w:t>
      </w:r>
    </w:p>
    <w:p w14:paraId="0D59E6E4">
      <w:pPr>
        <w:pStyle w:val="5"/>
        <w:shd w:val="clear" w:color="auto" w:fill="FFFFFF"/>
        <w:spacing w:before="0" w:beforeAutospacing="0" w:after="0" w:afterAutospacing="0" w:line="440" w:lineRule="exact"/>
        <w:ind w:firstLine="560" w:firstLineChars="200"/>
        <w:jc w:val="both"/>
        <w:rPr>
          <w:rFonts w:hint="eastAsia" w:ascii="宋体" w:hAnsi="宋体" w:eastAsia="宋体" w:cs="宋体"/>
          <w:color w:val="333333"/>
          <w:sz w:val="28"/>
          <w:szCs w:val="28"/>
        </w:rPr>
      </w:pPr>
      <w:r>
        <w:rPr>
          <w:rFonts w:hint="eastAsia" w:ascii="宋体" w:hAnsi="宋体" w:eastAsia="宋体" w:cs="宋体"/>
          <w:color w:val="333333"/>
          <w:sz w:val="28"/>
          <w:szCs w:val="28"/>
        </w:rPr>
        <w:t>大会期间，由广东世纪信通科技股份有限公司承办的“AI赋能：打造监理咨询企业专属的‘数字专家’与‘超级员工’”专题论坛也将同步进行</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10月31日下午（1:30-4:30）</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 。为了探索AI技术在监理咨询企业的落地应用，实现由“经验驱动”向“数据智能驱动”的转型升级，广东世纪信通科技股份有限公司特举办本次专场交流会。会议将全面展示建果AI云平台—“懂工程，更智慧”的企业级AI解决方案，聚焦监理咨询企业AI落地实践，会上还将首次发布《监理咨询企业AI产品白皮书》。</w:t>
      </w:r>
    </w:p>
    <w:bookmarkEnd w:id="10"/>
    <w:p w14:paraId="626D2D4E">
      <w:pPr>
        <w:pStyle w:val="5"/>
        <w:shd w:val="clear" w:color="auto" w:fill="FFFFFF"/>
        <w:spacing w:before="0" w:beforeAutospacing="0" w:after="0" w:afterAutospacing="0" w:line="440" w:lineRule="exact"/>
        <w:ind w:firstLine="560" w:firstLineChars="200"/>
        <w:jc w:val="both"/>
        <w:rPr>
          <w:rFonts w:hint="eastAsia" w:ascii="宋体" w:hAnsi="宋体" w:eastAsia="宋体" w:cs="宋体"/>
          <w:bCs/>
          <w:sz w:val="28"/>
          <w:szCs w:val="28"/>
        </w:rPr>
      </w:pPr>
    </w:p>
    <w:p w14:paraId="3057386D">
      <w:pPr>
        <w:spacing w:line="380" w:lineRule="exact"/>
        <w:rPr>
          <w:rFonts w:hint="eastAsia" w:ascii="宋体" w:hAnsi="宋体" w:eastAsia="宋体" w:cs="宋体"/>
          <w:b/>
          <w:sz w:val="28"/>
          <w:szCs w:val="28"/>
        </w:rPr>
      </w:pPr>
      <w:r>
        <w:rPr>
          <w:rFonts w:hint="eastAsia" w:ascii="宋体" w:hAnsi="宋体" w:eastAsia="宋体" w:cs="宋体"/>
          <w:b/>
          <w:sz w:val="28"/>
          <w:szCs w:val="28"/>
        </w:rPr>
        <w:t>会议费用：</w:t>
      </w:r>
    </w:p>
    <w:p w14:paraId="041EFCF5">
      <w:pPr>
        <w:spacing w:line="440" w:lineRule="exact"/>
        <w:ind w:firstLine="562" w:firstLineChars="200"/>
        <w:rPr>
          <w:rFonts w:hint="eastAsia" w:ascii="宋体" w:hAnsi="宋体" w:eastAsia="宋体" w:cs="宋体"/>
          <w:b/>
          <w:bCs w:val="0"/>
          <w:sz w:val="28"/>
          <w:szCs w:val="28"/>
        </w:rPr>
      </w:pPr>
      <w:r>
        <w:rPr>
          <w:rFonts w:hint="eastAsia" w:ascii="宋体" w:hAnsi="宋体" w:eastAsia="宋体" w:cs="宋体"/>
          <w:b/>
          <w:sz w:val="28"/>
          <w:szCs w:val="28"/>
        </w:rPr>
        <w:t>会务费：</w:t>
      </w:r>
      <w:r>
        <w:rPr>
          <w:rFonts w:hint="eastAsia" w:ascii="宋体" w:hAnsi="宋体" w:eastAsia="宋体" w:cs="宋体"/>
          <w:b/>
          <w:bCs w:val="0"/>
          <w:sz w:val="28"/>
          <w:szCs w:val="28"/>
        </w:rPr>
        <w:t>1500元/人</w:t>
      </w:r>
      <w:r>
        <w:rPr>
          <w:rFonts w:hint="eastAsia" w:ascii="宋体" w:hAnsi="宋体" w:eastAsia="宋体" w:cs="宋体"/>
          <w:bCs/>
          <w:sz w:val="28"/>
          <w:szCs w:val="28"/>
        </w:rPr>
        <w:t>（包含餐费、资料费、场地费等）。</w:t>
      </w:r>
      <w:r>
        <w:rPr>
          <w:rFonts w:hint="eastAsia" w:ascii="宋体" w:hAnsi="宋体" w:eastAsia="宋体" w:cs="宋体"/>
          <w:b/>
          <w:bCs w:val="0"/>
          <w:sz w:val="28"/>
          <w:szCs w:val="28"/>
        </w:rPr>
        <w:t>参会人员为《建设监理》理事会员或江苏省建设监理与招投标协会会员的，会务费1200元/人。</w:t>
      </w:r>
    </w:p>
    <w:p w14:paraId="0D77AC4A">
      <w:pPr>
        <w:spacing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会议期间住宿统一安排于以下酒店，费用自理：</w:t>
      </w:r>
    </w:p>
    <w:p w14:paraId="2C267FFE">
      <w:pPr>
        <w:numPr>
          <w:ilvl w:val="0"/>
          <w:numId w:val="0"/>
        </w:numPr>
        <w:spacing w:line="440" w:lineRule="exact"/>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南京雨润涵月楼酒店（会议酒店），住宿标准：标、单间500元/间，含单双早；</w:t>
      </w:r>
    </w:p>
    <w:p w14:paraId="0AF2FCA0">
      <w:pPr>
        <w:numPr>
          <w:ilvl w:val="0"/>
          <w:numId w:val="0"/>
        </w:numPr>
        <w:spacing w:line="440" w:lineRule="exact"/>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桔子水晶酒店（南京奥体中心店），住宿标准：标、单间420元/间，含单双早，位于会议酒店马路对面。</w:t>
      </w:r>
    </w:p>
    <w:p w14:paraId="185726D7">
      <w:pPr>
        <w:spacing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因酒店房间有限，请尽快报名，按报名先后顺序安排住宿酒店。</w:t>
      </w:r>
      <w:bookmarkStart w:id="11" w:name="_GoBack"/>
      <w:bookmarkEnd w:id="11"/>
      <w:r>
        <w:rPr>
          <w:rFonts w:hint="eastAsia" w:ascii="宋体" w:hAnsi="宋体" w:eastAsia="宋体" w:cs="宋体"/>
          <w:b/>
          <w:sz w:val="28"/>
          <w:szCs w:val="28"/>
        </w:rPr>
        <w:t>超过酒店房间容纳数需自行安排住宿。</w:t>
      </w:r>
    </w:p>
    <w:p w14:paraId="0FDB2D5D">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请认真填好参会回执（见附件），于</w:t>
      </w:r>
      <w:r>
        <w:rPr>
          <w:rFonts w:hint="eastAsia" w:ascii="宋体" w:hAnsi="宋体" w:eastAsia="宋体" w:cs="宋体"/>
          <w:b/>
          <w:bCs w:val="0"/>
          <w:color w:val="7030A0"/>
          <w:sz w:val="30"/>
          <w:szCs w:val="30"/>
        </w:rPr>
        <w:t>10月28日之前</w:t>
      </w:r>
      <w:r>
        <w:rPr>
          <w:rFonts w:hint="eastAsia" w:ascii="宋体" w:hAnsi="宋体" w:eastAsia="宋体" w:cs="宋体"/>
          <w:bCs/>
          <w:sz w:val="30"/>
          <w:szCs w:val="30"/>
        </w:rPr>
        <w:t>发送邮件</w:t>
      </w:r>
      <w:r>
        <w:rPr>
          <w:rFonts w:hint="eastAsia" w:ascii="宋体" w:hAnsi="宋体" w:eastAsia="宋体" w:cs="宋体"/>
          <w:b/>
          <w:bCs w:val="0"/>
          <w:color w:val="7030A0"/>
          <w:sz w:val="30"/>
          <w:szCs w:val="30"/>
        </w:rPr>
        <w:t>（1275073960@qq.com）</w:t>
      </w:r>
      <w:r>
        <w:rPr>
          <w:rFonts w:hint="eastAsia" w:ascii="宋体" w:hAnsi="宋体" w:eastAsia="宋体" w:cs="宋体"/>
          <w:bCs/>
          <w:sz w:val="30"/>
          <w:szCs w:val="30"/>
        </w:rPr>
        <w:t>至编辑部。</w:t>
      </w:r>
    </w:p>
    <w:p w14:paraId="13D1E71B">
      <w:pPr>
        <w:spacing w:line="440" w:lineRule="exact"/>
        <w:ind w:firstLine="480" w:firstLineChars="200"/>
        <w:rPr>
          <w:rFonts w:hint="eastAsia" w:ascii="宋体" w:hAnsi="宋体" w:eastAsia="宋体" w:cs="宋体"/>
          <w:bCs/>
          <w:sz w:val="28"/>
          <w:szCs w:val="28"/>
        </w:rPr>
      </w:pPr>
      <w:r>
        <w:rPr>
          <w:rFonts w:hint="eastAsia"/>
          <w:sz w:val="24"/>
        </w:rPr>
        <w:drawing>
          <wp:anchor distT="0" distB="0" distL="114300" distR="114300" simplePos="0" relativeHeight="251659264" behindDoc="1" locked="0" layoutInCell="1" allowOverlap="1">
            <wp:simplePos x="0" y="0"/>
            <wp:positionH relativeFrom="column">
              <wp:posOffset>3561715</wp:posOffset>
            </wp:positionH>
            <wp:positionV relativeFrom="paragraph">
              <wp:posOffset>66675</wp:posOffset>
            </wp:positionV>
            <wp:extent cx="1878965" cy="1464310"/>
            <wp:effectExtent l="0" t="0" r="0" b="0"/>
            <wp:wrapTight wrapText="bothSides">
              <wp:wrapPolygon>
                <wp:start x="12789" y="1555"/>
                <wp:lineTo x="11556" y="1124"/>
                <wp:lineTo x="8008" y="1265"/>
                <wp:lineTo x="7168" y="2182"/>
                <wp:lineTo x="5329" y="3906"/>
                <wp:lineTo x="4876" y="4871"/>
                <wp:lineTo x="3935" y="7297"/>
                <wp:lineTo x="3409" y="11877"/>
                <wp:lineTo x="5256" y="16205"/>
                <wp:lineTo x="5825" y="17169"/>
                <wp:lineTo x="7774" y="18687"/>
                <wp:lineTo x="8701" y="18884"/>
                <wp:lineTo x="12942" y="19024"/>
                <wp:lineTo x="15775" y="16495"/>
                <wp:lineTo x="17373" y="13535"/>
                <wp:lineTo x="17622" y="10837"/>
                <wp:lineTo x="18052" y="9067"/>
                <wp:lineTo x="16351" y="4852"/>
                <wp:lineTo x="15483" y="3653"/>
                <wp:lineTo x="12789" y="1555"/>
              </wp:wrapPolygon>
            </wp:wrapTight>
            <wp:docPr id="2" name="Picture 3" descr="img-61515143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615151435-0001"/>
                    <pic:cNvPicPr>
                      <a:picLocks noChangeAspect="1"/>
                    </pic:cNvPicPr>
                  </pic:nvPicPr>
                  <pic:blipFill>
                    <a:blip r:embed="rId4"/>
                    <a:stretch>
                      <a:fillRect/>
                    </a:stretch>
                  </pic:blipFill>
                  <pic:spPr>
                    <a:xfrm rot="-1872302">
                      <a:off x="0" y="0"/>
                      <a:ext cx="1878965" cy="1464310"/>
                    </a:xfrm>
                    <a:prstGeom prst="rect">
                      <a:avLst/>
                    </a:prstGeom>
                    <a:noFill/>
                    <a:ln>
                      <a:noFill/>
                    </a:ln>
                  </pic:spPr>
                </pic:pic>
              </a:graphicData>
            </a:graphic>
          </wp:anchor>
        </w:drawing>
      </w:r>
    </w:p>
    <w:p w14:paraId="294BF329">
      <w:pPr>
        <w:spacing w:line="380" w:lineRule="exact"/>
        <w:rPr>
          <w:rFonts w:hint="eastAsia" w:ascii="宋体" w:hAnsi="宋体" w:eastAsia="宋体" w:cs="宋体"/>
          <w:b/>
          <w:sz w:val="32"/>
          <w:szCs w:val="32"/>
        </w:rPr>
      </w:pPr>
      <w:r>
        <w:rPr>
          <w:rFonts w:hint="eastAsia" w:ascii="宋体" w:hAnsi="宋体" w:eastAsia="宋体" w:cs="宋体"/>
          <w:b/>
          <w:sz w:val="32"/>
          <w:szCs w:val="32"/>
        </w:rPr>
        <w:t>会务联系人及电话：</w:t>
      </w:r>
    </w:p>
    <w:p w14:paraId="78E06E4A">
      <w:pPr>
        <w:spacing w:line="380" w:lineRule="exact"/>
        <w:rPr>
          <w:rFonts w:hint="eastAsia" w:ascii="宋体" w:hAnsi="宋体" w:eastAsia="宋体" w:cs="宋体"/>
          <w:b/>
          <w:sz w:val="32"/>
          <w:szCs w:val="32"/>
        </w:rPr>
      </w:pPr>
    </w:p>
    <w:p w14:paraId="302C38AB">
      <w:pPr>
        <w:spacing w:line="380" w:lineRule="exact"/>
        <w:ind w:firstLine="723" w:firstLineChars="200"/>
        <w:rPr>
          <w:rFonts w:hint="eastAsia" w:ascii="宋体" w:hAnsi="宋体" w:eastAsia="宋体" w:cs="宋体"/>
          <w:b/>
          <w:bCs/>
          <w:color w:val="7030A0"/>
          <w:sz w:val="36"/>
          <w:szCs w:val="36"/>
          <w:lang w:val="en-US" w:eastAsia="zh-CN"/>
        </w:rPr>
      </w:pPr>
      <w:r>
        <w:rPr>
          <w:rFonts w:hint="eastAsia" w:ascii="宋体" w:hAnsi="宋体" w:eastAsia="宋体" w:cs="宋体"/>
          <w:b/>
          <w:bCs/>
          <w:color w:val="7030A0"/>
          <w:sz w:val="36"/>
          <w:szCs w:val="36"/>
          <w:lang w:val="en-US" w:eastAsia="zh-CN"/>
        </w:rPr>
        <w:t>王子维  电话：136 6197 6267</w:t>
      </w:r>
    </w:p>
    <w:p w14:paraId="1D0D3516">
      <w:pPr>
        <w:spacing w:line="380" w:lineRule="exact"/>
        <w:ind w:firstLine="480" w:firstLineChars="200"/>
        <w:rPr>
          <w:rFonts w:hint="eastAsia" w:ascii="宋体" w:hAnsi="宋体" w:eastAsia="宋体" w:cs="宋体"/>
          <w:sz w:val="24"/>
          <w:szCs w:val="24"/>
        </w:rPr>
      </w:pPr>
    </w:p>
    <w:p w14:paraId="2CAA169A">
      <w:pPr>
        <w:spacing w:line="380" w:lineRule="exact"/>
        <w:ind w:firstLine="560" w:firstLineChars="200"/>
        <w:rPr>
          <w:rFonts w:hint="eastAsia" w:ascii="宋体" w:hAnsi="宋体" w:eastAsia="宋体" w:cs="宋体"/>
          <w:sz w:val="28"/>
          <w:szCs w:val="28"/>
        </w:rPr>
      </w:pPr>
    </w:p>
    <w:p w14:paraId="76212821">
      <w:pPr>
        <w:spacing w:line="380" w:lineRule="exact"/>
        <w:ind w:firstLine="480" w:firstLineChars="200"/>
        <w:jc w:val="right"/>
        <w:rPr>
          <w:rFonts w:hint="eastAsia" w:ascii="宋体" w:hAnsi="宋体" w:eastAsia="宋体" w:cs="宋体"/>
          <w:sz w:val="24"/>
          <w:szCs w:val="24"/>
        </w:rPr>
      </w:pPr>
    </w:p>
    <w:p w14:paraId="75C22737">
      <w:pPr>
        <w:spacing w:line="380" w:lineRule="exact"/>
        <w:ind w:right="480" w:firstLine="4337" w:firstLineChars="1200"/>
        <w:jc w:val="both"/>
        <w:rPr>
          <w:rFonts w:hint="eastAsia" w:ascii="宋体" w:hAnsi="宋体" w:eastAsia="宋体" w:cs="宋体"/>
          <w:b/>
          <w:bCs/>
          <w:sz w:val="36"/>
          <w:szCs w:val="36"/>
        </w:rPr>
      </w:pPr>
      <w:r>
        <w:rPr>
          <w:rFonts w:hint="eastAsia" w:ascii="宋体" w:hAnsi="宋体" w:eastAsia="宋体" w:cs="宋体"/>
          <w:b/>
          <w:bCs/>
          <w:sz w:val="36"/>
          <w:szCs w:val="36"/>
        </w:rPr>
        <w:t>《建设监理》编辑部</w:t>
      </w:r>
    </w:p>
    <w:p w14:paraId="34814646">
      <w:pPr>
        <w:spacing w:line="380" w:lineRule="exact"/>
        <w:ind w:right="840" w:firstLine="723" w:firstLineChars="200"/>
        <w:jc w:val="right"/>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2025年9月</w:t>
      </w:r>
    </w:p>
    <w:p w14:paraId="76E44760">
      <w:pPr>
        <w:spacing w:line="380" w:lineRule="exact"/>
        <w:ind w:right="840" w:firstLine="640" w:firstLineChars="200"/>
        <w:jc w:val="right"/>
        <w:rPr>
          <w:rFonts w:hint="eastAsia" w:ascii="宋体" w:hAnsi="宋体" w:eastAsia="宋体" w:cs="宋体"/>
          <w:sz w:val="32"/>
          <w:szCs w:val="32"/>
        </w:rPr>
      </w:pPr>
    </w:p>
    <w:p w14:paraId="72303086">
      <w:pPr>
        <w:spacing w:line="380" w:lineRule="exact"/>
        <w:ind w:right="840" w:firstLine="640" w:firstLineChars="200"/>
        <w:jc w:val="right"/>
        <w:rPr>
          <w:rFonts w:hint="eastAsia" w:ascii="宋体" w:hAnsi="宋体" w:eastAsia="宋体" w:cs="宋体"/>
          <w:sz w:val="32"/>
          <w:szCs w:val="32"/>
        </w:rPr>
      </w:pPr>
    </w:p>
    <w:p w14:paraId="2F63EE04">
      <w:pPr>
        <w:spacing w:line="380" w:lineRule="exact"/>
        <w:rPr>
          <w:rFonts w:hint="eastAsia" w:ascii="宋体" w:hAnsi="宋体" w:eastAsia="宋体" w:cs="宋体"/>
          <w:b/>
          <w:bCs/>
          <w:sz w:val="30"/>
          <w:szCs w:val="30"/>
        </w:rPr>
      </w:pPr>
      <w:r>
        <w:rPr>
          <w:rFonts w:hint="eastAsia" w:ascii="宋体" w:hAnsi="宋体" w:eastAsia="宋体" w:cs="宋体"/>
          <w:b/>
          <w:bCs/>
          <w:sz w:val="30"/>
          <w:szCs w:val="30"/>
        </w:rPr>
        <w:t>附件：参会回执</w:t>
      </w:r>
    </w:p>
    <w:p w14:paraId="03E3AB16">
      <w:pPr>
        <w:spacing w:line="380" w:lineRule="exact"/>
        <w:ind w:right="840" w:firstLine="640" w:firstLineChars="200"/>
        <w:jc w:val="right"/>
        <w:rPr>
          <w:rFonts w:hint="eastAsia" w:ascii="宋体" w:hAnsi="宋体" w:eastAsia="宋体" w:cs="宋体"/>
          <w:sz w:val="32"/>
          <w:szCs w:val="32"/>
        </w:rPr>
      </w:pPr>
    </w:p>
    <w:p w14:paraId="4E5E2E84">
      <w:pPr>
        <w:spacing w:line="380" w:lineRule="exact"/>
        <w:ind w:right="840" w:firstLine="640" w:firstLineChars="200"/>
        <w:jc w:val="right"/>
        <w:rPr>
          <w:rFonts w:hint="eastAsia"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14:paraId="4E2C58D4">
      <w:pPr>
        <w:jc w:val="center"/>
        <w:rPr>
          <w:rFonts w:hint="eastAsia" w:ascii="宋体" w:hAnsi="宋体" w:eastAsia="宋体" w:cs="宋体"/>
          <w:b/>
          <w:bCs/>
          <w:sz w:val="32"/>
          <w:szCs w:val="32"/>
        </w:rPr>
      </w:pPr>
      <w:r>
        <w:rPr>
          <w:rFonts w:hint="eastAsia" w:ascii="宋体" w:hAnsi="宋体" w:eastAsia="宋体" w:cs="宋体"/>
          <w:b/>
          <w:bCs/>
          <w:sz w:val="32"/>
          <w:szCs w:val="32"/>
        </w:rPr>
        <w:t>参会回执</w:t>
      </w:r>
    </w:p>
    <w:tbl>
      <w:tblPr>
        <w:tblStyle w:val="6"/>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660"/>
        <w:gridCol w:w="1480"/>
        <w:gridCol w:w="1460"/>
        <w:gridCol w:w="772"/>
        <w:gridCol w:w="518"/>
        <w:gridCol w:w="1300"/>
        <w:gridCol w:w="1823"/>
      </w:tblGrid>
      <w:tr w14:paraId="05B7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76" w:type="dxa"/>
            <w:vAlign w:val="center"/>
          </w:tcPr>
          <w:p w14:paraId="0DE9BE84">
            <w:pPr>
              <w:snapToGrid w:val="0"/>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8013" w:type="dxa"/>
            <w:gridSpan w:val="7"/>
            <w:vAlign w:val="center"/>
          </w:tcPr>
          <w:p w14:paraId="735FE88C">
            <w:pPr>
              <w:snapToGrid w:val="0"/>
              <w:jc w:val="center"/>
              <w:rPr>
                <w:rFonts w:hint="eastAsia" w:ascii="宋体" w:hAnsi="宋体" w:eastAsia="宋体" w:cs="宋体"/>
                <w:sz w:val="24"/>
                <w:szCs w:val="24"/>
              </w:rPr>
            </w:pPr>
          </w:p>
        </w:tc>
      </w:tr>
      <w:tr w14:paraId="5D77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776" w:type="dxa"/>
            <w:gridSpan w:val="4"/>
            <w:vAlign w:val="center"/>
          </w:tcPr>
          <w:p w14:paraId="7907CB23">
            <w:pPr>
              <w:snapToGrid w:val="0"/>
              <w:jc w:val="center"/>
              <w:rPr>
                <w:rFonts w:hint="eastAsia" w:ascii="宋体" w:hAnsi="宋体" w:eastAsia="宋体" w:cs="宋体"/>
                <w:sz w:val="24"/>
                <w:szCs w:val="24"/>
              </w:rPr>
            </w:pPr>
            <w:r>
              <w:rPr>
                <w:rFonts w:hint="eastAsia" w:ascii="宋体" w:hAnsi="宋体" w:eastAsia="宋体" w:cs="宋体"/>
                <w:sz w:val="24"/>
                <w:szCs w:val="24"/>
              </w:rPr>
              <w:t>是否为《建设监理》理事会会员或江苏省建设监理与招投标协会会员</w:t>
            </w:r>
          </w:p>
        </w:tc>
        <w:tc>
          <w:tcPr>
            <w:tcW w:w="4413" w:type="dxa"/>
            <w:gridSpan w:val="4"/>
            <w:vAlign w:val="center"/>
          </w:tcPr>
          <w:p w14:paraId="7D74D61C">
            <w:pPr>
              <w:snapToGrid w:val="0"/>
              <w:jc w:val="center"/>
              <w:rPr>
                <w:rFonts w:hint="eastAsia" w:ascii="宋体" w:hAnsi="宋体" w:eastAsia="宋体" w:cs="宋体"/>
                <w:sz w:val="24"/>
                <w:szCs w:val="24"/>
              </w:rPr>
            </w:pPr>
            <w:r>
              <w:rPr>
                <w:rFonts w:hint="eastAsia" w:ascii="宋体" w:hAnsi="宋体" w:eastAsia="宋体" w:cs="宋体"/>
                <w:sz w:val="24"/>
                <w:szCs w:val="24"/>
              </w:rPr>
              <w:t>□是</w:t>
            </w:r>
          </w:p>
          <w:p w14:paraId="09D0BD83">
            <w:pPr>
              <w:snapToGrid w:val="0"/>
              <w:jc w:val="center"/>
              <w:rPr>
                <w:rFonts w:hint="eastAsia" w:ascii="宋体" w:hAnsi="宋体" w:eastAsia="宋体" w:cs="宋体"/>
                <w:sz w:val="24"/>
                <w:szCs w:val="24"/>
              </w:rPr>
            </w:pPr>
            <w:r>
              <w:rPr>
                <w:rFonts w:hint="eastAsia" w:ascii="宋体" w:hAnsi="宋体" w:eastAsia="宋体" w:cs="宋体"/>
                <w:sz w:val="24"/>
                <w:szCs w:val="24"/>
              </w:rPr>
              <w:t>□否</w:t>
            </w:r>
          </w:p>
        </w:tc>
      </w:tr>
      <w:tr w14:paraId="1591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776" w:type="dxa"/>
            <w:gridSpan w:val="4"/>
            <w:vAlign w:val="center"/>
          </w:tcPr>
          <w:p w14:paraId="57D3312E">
            <w:pPr>
              <w:snapToGrid w:val="0"/>
              <w:jc w:val="center"/>
              <w:rPr>
                <w:rFonts w:hint="eastAsia" w:ascii="宋体" w:hAnsi="宋体" w:eastAsia="宋体" w:cs="宋体"/>
                <w:sz w:val="24"/>
                <w:szCs w:val="24"/>
              </w:rPr>
            </w:pPr>
            <w:r>
              <w:rPr>
                <w:rFonts w:hint="eastAsia" w:ascii="宋体" w:hAnsi="宋体" w:eastAsia="宋体" w:cs="宋体"/>
                <w:sz w:val="24"/>
                <w:szCs w:val="24"/>
              </w:rPr>
              <w:t>是否参加31日下午举办的专题论坛（由广东世纪信通科技股份有限公司承办，主题为AI赋能：打造监理咨询企业专属的“数字专家”与“超级员工”）</w:t>
            </w:r>
          </w:p>
        </w:tc>
        <w:tc>
          <w:tcPr>
            <w:tcW w:w="4413" w:type="dxa"/>
            <w:gridSpan w:val="4"/>
            <w:vAlign w:val="center"/>
          </w:tcPr>
          <w:p w14:paraId="5C88E466">
            <w:pPr>
              <w:snapToGrid w:val="0"/>
              <w:jc w:val="center"/>
              <w:rPr>
                <w:rFonts w:hint="eastAsia" w:ascii="宋体" w:hAnsi="宋体" w:eastAsia="宋体" w:cs="宋体"/>
                <w:sz w:val="24"/>
                <w:szCs w:val="24"/>
              </w:rPr>
            </w:pPr>
            <w:r>
              <w:rPr>
                <w:rFonts w:hint="eastAsia" w:ascii="宋体" w:hAnsi="宋体" w:eastAsia="宋体" w:cs="宋体"/>
                <w:sz w:val="24"/>
                <w:szCs w:val="24"/>
              </w:rPr>
              <w:t>□是</w:t>
            </w:r>
          </w:p>
          <w:p w14:paraId="52E6EA01">
            <w:pPr>
              <w:snapToGrid w:val="0"/>
              <w:jc w:val="center"/>
              <w:rPr>
                <w:rFonts w:hint="eastAsia" w:ascii="宋体" w:hAnsi="宋体" w:eastAsia="宋体" w:cs="宋体"/>
                <w:sz w:val="24"/>
                <w:szCs w:val="24"/>
              </w:rPr>
            </w:pPr>
            <w:r>
              <w:rPr>
                <w:rFonts w:hint="eastAsia" w:ascii="宋体" w:hAnsi="宋体" w:eastAsia="宋体" w:cs="宋体"/>
                <w:sz w:val="24"/>
                <w:szCs w:val="24"/>
              </w:rPr>
              <w:t>□否</w:t>
            </w:r>
          </w:p>
        </w:tc>
      </w:tr>
      <w:tr w14:paraId="5B6E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76" w:type="dxa"/>
            <w:vAlign w:val="center"/>
          </w:tcPr>
          <w:p w14:paraId="43B16EC5">
            <w:pPr>
              <w:snapToGrid w:val="0"/>
              <w:jc w:val="center"/>
              <w:rPr>
                <w:rFonts w:hint="eastAsia" w:ascii="宋体" w:hAnsi="宋体" w:eastAsia="宋体" w:cs="宋体"/>
                <w:sz w:val="24"/>
                <w:szCs w:val="24"/>
              </w:rPr>
            </w:pPr>
            <w:r>
              <w:rPr>
                <w:rFonts w:hint="eastAsia" w:ascii="宋体" w:hAnsi="宋体" w:eastAsia="宋体" w:cs="宋体"/>
                <w:sz w:val="24"/>
                <w:szCs w:val="24"/>
              </w:rPr>
              <w:t>地  址</w:t>
            </w:r>
          </w:p>
        </w:tc>
        <w:tc>
          <w:tcPr>
            <w:tcW w:w="3600" w:type="dxa"/>
            <w:gridSpan w:val="3"/>
            <w:vAlign w:val="center"/>
          </w:tcPr>
          <w:p w14:paraId="1AAD5403">
            <w:pPr>
              <w:snapToGrid w:val="0"/>
              <w:jc w:val="center"/>
              <w:rPr>
                <w:rFonts w:hint="eastAsia" w:ascii="宋体" w:hAnsi="宋体" w:eastAsia="宋体" w:cs="宋体"/>
                <w:sz w:val="24"/>
                <w:szCs w:val="24"/>
              </w:rPr>
            </w:pPr>
          </w:p>
        </w:tc>
        <w:tc>
          <w:tcPr>
            <w:tcW w:w="1290" w:type="dxa"/>
            <w:gridSpan w:val="2"/>
            <w:vAlign w:val="center"/>
          </w:tcPr>
          <w:p w14:paraId="3C2A8297">
            <w:pPr>
              <w:snapToGrid w:val="0"/>
              <w:jc w:val="center"/>
              <w:rPr>
                <w:rFonts w:hint="eastAsia" w:ascii="宋体" w:hAnsi="宋体" w:eastAsia="宋体" w:cs="宋体"/>
                <w:sz w:val="24"/>
                <w:szCs w:val="24"/>
              </w:rPr>
            </w:pPr>
            <w:r>
              <w:rPr>
                <w:rFonts w:hint="eastAsia" w:ascii="宋体" w:hAnsi="宋体" w:eastAsia="宋体" w:cs="宋体"/>
                <w:sz w:val="24"/>
                <w:szCs w:val="24"/>
              </w:rPr>
              <w:t>邮 箱</w:t>
            </w:r>
          </w:p>
        </w:tc>
        <w:tc>
          <w:tcPr>
            <w:tcW w:w="3123" w:type="dxa"/>
            <w:gridSpan w:val="2"/>
            <w:vAlign w:val="center"/>
          </w:tcPr>
          <w:p w14:paraId="185C5A2D">
            <w:pPr>
              <w:snapToGrid w:val="0"/>
              <w:jc w:val="center"/>
              <w:rPr>
                <w:rFonts w:hint="eastAsia" w:ascii="宋体" w:hAnsi="宋体" w:eastAsia="宋体" w:cs="宋体"/>
                <w:sz w:val="24"/>
                <w:szCs w:val="24"/>
              </w:rPr>
            </w:pPr>
          </w:p>
        </w:tc>
      </w:tr>
      <w:tr w14:paraId="4597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76" w:type="dxa"/>
            <w:vAlign w:val="center"/>
          </w:tcPr>
          <w:p w14:paraId="26443738">
            <w:pPr>
              <w:snapToGrid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3600" w:type="dxa"/>
            <w:gridSpan w:val="3"/>
            <w:vAlign w:val="center"/>
          </w:tcPr>
          <w:p w14:paraId="097CBBFB">
            <w:pPr>
              <w:snapToGrid w:val="0"/>
              <w:jc w:val="center"/>
              <w:rPr>
                <w:rFonts w:hint="eastAsia" w:ascii="宋体" w:hAnsi="宋体" w:eastAsia="宋体" w:cs="宋体"/>
                <w:sz w:val="24"/>
                <w:szCs w:val="24"/>
              </w:rPr>
            </w:pPr>
          </w:p>
        </w:tc>
        <w:tc>
          <w:tcPr>
            <w:tcW w:w="1290" w:type="dxa"/>
            <w:gridSpan w:val="2"/>
            <w:vAlign w:val="center"/>
          </w:tcPr>
          <w:p w14:paraId="422FA311">
            <w:pPr>
              <w:snapToGrid w:val="0"/>
              <w:jc w:val="center"/>
              <w:rPr>
                <w:rFonts w:hint="eastAsia" w:ascii="宋体" w:hAnsi="宋体" w:eastAsia="宋体" w:cs="宋体"/>
                <w:sz w:val="24"/>
                <w:szCs w:val="24"/>
              </w:rPr>
            </w:pPr>
            <w:r>
              <w:rPr>
                <w:rFonts w:hint="eastAsia" w:ascii="宋体" w:hAnsi="宋体" w:eastAsia="宋体" w:cs="宋体"/>
                <w:sz w:val="24"/>
                <w:szCs w:val="24"/>
              </w:rPr>
              <w:t>手 机</w:t>
            </w:r>
          </w:p>
        </w:tc>
        <w:tc>
          <w:tcPr>
            <w:tcW w:w="3123" w:type="dxa"/>
            <w:gridSpan w:val="2"/>
            <w:vAlign w:val="center"/>
          </w:tcPr>
          <w:p w14:paraId="59EDFAD6">
            <w:pPr>
              <w:snapToGrid w:val="0"/>
              <w:jc w:val="center"/>
              <w:rPr>
                <w:rFonts w:hint="eastAsia" w:ascii="宋体" w:hAnsi="宋体" w:eastAsia="宋体" w:cs="宋体"/>
                <w:sz w:val="24"/>
                <w:szCs w:val="24"/>
              </w:rPr>
            </w:pPr>
          </w:p>
        </w:tc>
      </w:tr>
      <w:tr w14:paraId="0D33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6" w:type="dxa"/>
            <w:vMerge w:val="restart"/>
            <w:vAlign w:val="center"/>
          </w:tcPr>
          <w:p w14:paraId="3BF7E07D">
            <w:pPr>
              <w:snapToGrid w:val="0"/>
              <w:jc w:val="center"/>
              <w:rPr>
                <w:rFonts w:hint="eastAsia" w:ascii="宋体" w:hAnsi="宋体" w:eastAsia="宋体" w:cs="宋体"/>
                <w:b/>
                <w:sz w:val="24"/>
                <w:szCs w:val="24"/>
              </w:rPr>
            </w:pPr>
            <w:r>
              <w:rPr>
                <w:rFonts w:hint="eastAsia" w:ascii="宋体" w:hAnsi="宋体" w:eastAsia="宋体" w:cs="宋体"/>
                <w:b/>
                <w:sz w:val="24"/>
                <w:szCs w:val="24"/>
              </w:rPr>
              <w:t>参加活动人员姓名</w:t>
            </w:r>
          </w:p>
        </w:tc>
        <w:tc>
          <w:tcPr>
            <w:tcW w:w="660" w:type="dxa"/>
            <w:vMerge w:val="restart"/>
            <w:vAlign w:val="center"/>
          </w:tcPr>
          <w:p w14:paraId="6EB05D7E">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性 别</w:t>
            </w:r>
          </w:p>
        </w:tc>
        <w:tc>
          <w:tcPr>
            <w:tcW w:w="1480" w:type="dxa"/>
            <w:vMerge w:val="restart"/>
            <w:vAlign w:val="center"/>
          </w:tcPr>
          <w:p w14:paraId="0F13619B">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职务</w:t>
            </w:r>
          </w:p>
        </w:tc>
        <w:tc>
          <w:tcPr>
            <w:tcW w:w="1460" w:type="dxa"/>
            <w:vMerge w:val="restart"/>
            <w:vAlign w:val="center"/>
          </w:tcPr>
          <w:p w14:paraId="4BCD9089">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入住酒店</w:t>
            </w:r>
          </w:p>
        </w:tc>
        <w:tc>
          <w:tcPr>
            <w:tcW w:w="1290" w:type="dxa"/>
            <w:gridSpan w:val="2"/>
            <w:vMerge w:val="restart"/>
            <w:vAlign w:val="center"/>
          </w:tcPr>
          <w:p w14:paraId="4BDABAE9">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手机</w:t>
            </w:r>
          </w:p>
        </w:tc>
        <w:tc>
          <w:tcPr>
            <w:tcW w:w="3123" w:type="dxa"/>
            <w:gridSpan w:val="2"/>
            <w:vAlign w:val="center"/>
          </w:tcPr>
          <w:p w14:paraId="36AFDF1D">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住宿标准种类</w:t>
            </w:r>
          </w:p>
          <w:p w14:paraId="549563B5">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10月（ ）日入住-</w:t>
            </w:r>
          </w:p>
          <w:p w14:paraId="6BEED99C">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10月（ ）日离店</w:t>
            </w:r>
          </w:p>
        </w:tc>
      </w:tr>
      <w:tr w14:paraId="1848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76" w:type="dxa"/>
            <w:vMerge w:val="continue"/>
            <w:vAlign w:val="center"/>
          </w:tcPr>
          <w:p w14:paraId="1A962B58">
            <w:pPr>
              <w:keepNext/>
              <w:keepLines/>
              <w:snapToGrid w:val="0"/>
              <w:spacing w:before="340" w:after="330" w:line="578" w:lineRule="auto"/>
              <w:jc w:val="center"/>
              <w:rPr>
                <w:rFonts w:hint="eastAsia" w:ascii="宋体" w:hAnsi="宋体" w:eastAsia="宋体" w:cs="宋体"/>
                <w:b/>
                <w:sz w:val="24"/>
                <w:szCs w:val="24"/>
              </w:rPr>
            </w:pPr>
          </w:p>
        </w:tc>
        <w:tc>
          <w:tcPr>
            <w:tcW w:w="660" w:type="dxa"/>
            <w:vMerge w:val="continue"/>
            <w:vAlign w:val="center"/>
          </w:tcPr>
          <w:p w14:paraId="6CEA26EC">
            <w:pPr>
              <w:keepNext/>
              <w:keepLines/>
              <w:widowControl/>
              <w:snapToGrid w:val="0"/>
              <w:spacing w:before="340" w:after="330" w:line="578" w:lineRule="auto"/>
              <w:jc w:val="center"/>
              <w:rPr>
                <w:rFonts w:hint="eastAsia" w:ascii="宋体" w:hAnsi="宋体" w:eastAsia="宋体" w:cs="宋体"/>
                <w:b/>
                <w:sz w:val="24"/>
                <w:szCs w:val="24"/>
              </w:rPr>
            </w:pPr>
          </w:p>
        </w:tc>
        <w:tc>
          <w:tcPr>
            <w:tcW w:w="1480" w:type="dxa"/>
            <w:vMerge w:val="continue"/>
            <w:vAlign w:val="center"/>
          </w:tcPr>
          <w:p w14:paraId="070C9214">
            <w:pPr>
              <w:keepNext/>
              <w:keepLines/>
              <w:widowControl/>
              <w:snapToGrid w:val="0"/>
              <w:spacing w:before="340" w:after="330" w:line="578" w:lineRule="auto"/>
              <w:jc w:val="center"/>
              <w:rPr>
                <w:rFonts w:hint="eastAsia" w:ascii="宋体" w:hAnsi="宋体" w:eastAsia="宋体" w:cs="宋体"/>
                <w:b/>
                <w:sz w:val="24"/>
                <w:szCs w:val="24"/>
              </w:rPr>
            </w:pPr>
          </w:p>
        </w:tc>
        <w:tc>
          <w:tcPr>
            <w:tcW w:w="1460" w:type="dxa"/>
            <w:vMerge w:val="continue"/>
            <w:vAlign w:val="center"/>
          </w:tcPr>
          <w:p w14:paraId="1F0FA367">
            <w:pPr>
              <w:keepNext/>
              <w:keepLines/>
              <w:widowControl/>
              <w:snapToGrid w:val="0"/>
              <w:spacing w:before="340" w:after="330" w:line="578" w:lineRule="auto"/>
              <w:jc w:val="center"/>
              <w:rPr>
                <w:rFonts w:hint="eastAsia" w:ascii="宋体" w:hAnsi="宋体" w:eastAsia="宋体" w:cs="宋体"/>
                <w:b/>
                <w:sz w:val="24"/>
                <w:szCs w:val="24"/>
              </w:rPr>
            </w:pPr>
          </w:p>
        </w:tc>
        <w:tc>
          <w:tcPr>
            <w:tcW w:w="1290" w:type="dxa"/>
            <w:gridSpan w:val="2"/>
            <w:vMerge w:val="continue"/>
            <w:vAlign w:val="center"/>
          </w:tcPr>
          <w:p w14:paraId="01E5B60D">
            <w:pPr>
              <w:keepNext/>
              <w:keepLines/>
              <w:widowControl/>
              <w:snapToGrid w:val="0"/>
              <w:spacing w:before="340" w:after="330" w:line="578" w:lineRule="auto"/>
              <w:jc w:val="center"/>
              <w:rPr>
                <w:rFonts w:hint="eastAsia" w:ascii="宋体" w:hAnsi="宋体" w:eastAsia="宋体" w:cs="宋体"/>
                <w:b/>
                <w:sz w:val="24"/>
                <w:szCs w:val="24"/>
              </w:rPr>
            </w:pPr>
          </w:p>
        </w:tc>
        <w:tc>
          <w:tcPr>
            <w:tcW w:w="1300" w:type="dxa"/>
            <w:vAlign w:val="center"/>
          </w:tcPr>
          <w:p w14:paraId="36D93EAC">
            <w:pPr>
              <w:snapToGrid w:val="0"/>
              <w:jc w:val="center"/>
              <w:rPr>
                <w:rFonts w:hint="eastAsia" w:ascii="宋体" w:hAnsi="宋体" w:eastAsia="宋体" w:cs="宋体"/>
                <w:b/>
                <w:sz w:val="24"/>
                <w:szCs w:val="24"/>
              </w:rPr>
            </w:pPr>
            <w:r>
              <w:rPr>
                <w:rFonts w:hint="eastAsia" w:ascii="宋体" w:hAnsi="宋体" w:eastAsia="宋体" w:cs="宋体"/>
                <w:b/>
                <w:sz w:val="24"/>
                <w:szCs w:val="24"/>
              </w:rPr>
              <w:t>1/2标房</w:t>
            </w:r>
          </w:p>
        </w:tc>
        <w:tc>
          <w:tcPr>
            <w:tcW w:w="1823" w:type="dxa"/>
            <w:vAlign w:val="center"/>
          </w:tcPr>
          <w:p w14:paraId="4447F48A">
            <w:pPr>
              <w:snapToGrid w:val="0"/>
              <w:jc w:val="center"/>
              <w:rPr>
                <w:rFonts w:hint="eastAsia" w:ascii="宋体" w:hAnsi="宋体" w:eastAsia="宋体" w:cs="宋体"/>
                <w:b/>
                <w:sz w:val="24"/>
                <w:szCs w:val="24"/>
              </w:rPr>
            </w:pPr>
            <w:r>
              <w:rPr>
                <w:rFonts w:hint="eastAsia" w:ascii="宋体" w:hAnsi="宋体" w:eastAsia="宋体" w:cs="宋体"/>
                <w:b/>
                <w:sz w:val="24"/>
                <w:szCs w:val="24"/>
              </w:rPr>
              <w:t>单人房</w:t>
            </w:r>
          </w:p>
        </w:tc>
      </w:tr>
      <w:tr w14:paraId="3859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76" w:type="dxa"/>
            <w:vAlign w:val="center"/>
          </w:tcPr>
          <w:p w14:paraId="7D0F7130">
            <w:pPr>
              <w:snapToGrid w:val="0"/>
              <w:jc w:val="center"/>
              <w:rPr>
                <w:rFonts w:hint="eastAsia" w:ascii="宋体" w:hAnsi="宋体" w:eastAsia="宋体" w:cs="宋体"/>
                <w:sz w:val="24"/>
                <w:szCs w:val="24"/>
              </w:rPr>
            </w:pPr>
          </w:p>
        </w:tc>
        <w:tc>
          <w:tcPr>
            <w:tcW w:w="660" w:type="dxa"/>
            <w:vAlign w:val="center"/>
          </w:tcPr>
          <w:p w14:paraId="44DD690C">
            <w:pPr>
              <w:snapToGrid w:val="0"/>
              <w:jc w:val="center"/>
              <w:rPr>
                <w:rFonts w:hint="eastAsia" w:ascii="宋体" w:hAnsi="宋体" w:eastAsia="宋体" w:cs="宋体"/>
                <w:szCs w:val="21"/>
              </w:rPr>
            </w:pPr>
          </w:p>
        </w:tc>
        <w:tc>
          <w:tcPr>
            <w:tcW w:w="1480" w:type="dxa"/>
            <w:vAlign w:val="center"/>
          </w:tcPr>
          <w:p w14:paraId="275F3194">
            <w:pPr>
              <w:snapToGrid w:val="0"/>
              <w:jc w:val="center"/>
              <w:rPr>
                <w:rFonts w:hint="eastAsia" w:ascii="宋体" w:hAnsi="宋体" w:eastAsia="宋体" w:cs="宋体"/>
                <w:szCs w:val="21"/>
              </w:rPr>
            </w:pPr>
          </w:p>
        </w:tc>
        <w:tc>
          <w:tcPr>
            <w:tcW w:w="1460" w:type="dxa"/>
            <w:vAlign w:val="center"/>
          </w:tcPr>
          <w:p w14:paraId="35A0859B">
            <w:pPr>
              <w:snapToGrid w:val="0"/>
              <w:jc w:val="center"/>
              <w:rPr>
                <w:rFonts w:hint="eastAsia" w:ascii="宋体" w:hAnsi="宋体" w:eastAsia="宋体" w:cs="宋体"/>
                <w:szCs w:val="21"/>
              </w:rPr>
            </w:pPr>
          </w:p>
        </w:tc>
        <w:tc>
          <w:tcPr>
            <w:tcW w:w="1290" w:type="dxa"/>
            <w:gridSpan w:val="2"/>
            <w:vAlign w:val="center"/>
          </w:tcPr>
          <w:p w14:paraId="2D932A30">
            <w:pPr>
              <w:snapToGrid w:val="0"/>
              <w:jc w:val="center"/>
              <w:rPr>
                <w:rFonts w:hint="eastAsia" w:ascii="宋体" w:hAnsi="宋体" w:eastAsia="宋体" w:cs="宋体"/>
                <w:szCs w:val="21"/>
              </w:rPr>
            </w:pPr>
          </w:p>
        </w:tc>
        <w:tc>
          <w:tcPr>
            <w:tcW w:w="1300" w:type="dxa"/>
            <w:vAlign w:val="center"/>
          </w:tcPr>
          <w:p w14:paraId="744111FC">
            <w:pPr>
              <w:snapToGrid w:val="0"/>
              <w:jc w:val="center"/>
              <w:rPr>
                <w:rFonts w:hint="eastAsia" w:ascii="宋体" w:hAnsi="宋体" w:eastAsia="宋体" w:cs="宋体"/>
                <w:szCs w:val="21"/>
              </w:rPr>
            </w:pPr>
            <w:r>
              <w:rPr>
                <w:rFonts w:hint="eastAsia" w:ascii="宋体" w:hAnsi="宋体" w:eastAsia="宋体" w:cs="宋体"/>
                <w:szCs w:val="21"/>
              </w:rPr>
              <w:t>□</w:t>
            </w:r>
          </w:p>
        </w:tc>
        <w:tc>
          <w:tcPr>
            <w:tcW w:w="1823" w:type="dxa"/>
            <w:vAlign w:val="center"/>
          </w:tcPr>
          <w:p w14:paraId="2EBCDE34">
            <w:pPr>
              <w:snapToGrid w:val="0"/>
              <w:jc w:val="center"/>
              <w:rPr>
                <w:rFonts w:hint="eastAsia" w:ascii="宋体" w:hAnsi="宋体" w:eastAsia="宋体" w:cs="宋体"/>
                <w:szCs w:val="21"/>
              </w:rPr>
            </w:pPr>
            <w:r>
              <w:rPr>
                <w:rFonts w:hint="eastAsia" w:ascii="宋体" w:hAnsi="宋体" w:eastAsia="宋体" w:cs="宋体"/>
                <w:szCs w:val="21"/>
              </w:rPr>
              <w:t>□</w:t>
            </w:r>
          </w:p>
        </w:tc>
      </w:tr>
      <w:tr w14:paraId="7F63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76" w:type="dxa"/>
            <w:vAlign w:val="center"/>
          </w:tcPr>
          <w:p w14:paraId="2DF39410">
            <w:pPr>
              <w:snapToGrid w:val="0"/>
              <w:jc w:val="center"/>
              <w:rPr>
                <w:rFonts w:hint="eastAsia" w:ascii="宋体" w:hAnsi="宋体" w:eastAsia="宋体" w:cs="宋体"/>
                <w:sz w:val="24"/>
                <w:szCs w:val="24"/>
              </w:rPr>
            </w:pPr>
          </w:p>
        </w:tc>
        <w:tc>
          <w:tcPr>
            <w:tcW w:w="660" w:type="dxa"/>
            <w:vAlign w:val="center"/>
          </w:tcPr>
          <w:p w14:paraId="0CA2898C">
            <w:pPr>
              <w:snapToGrid w:val="0"/>
              <w:jc w:val="center"/>
              <w:rPr>
                <w:rFonts w:hint="eastAsia" w:ascii="宋体" w:hAnsi="宋体" w:eastAsia="宋体" w:cs="宋体"/>
                <w:szCs w:val="21"/>
              </w:rPr>
            </w:pPr>
          </w:p>
        </w:tc>
        <w:tc>
          <w:tcPr>
            <w:tcW w:w="1480" w:type="dxa"/>
            <w:vAlign w:val="center"/>
          </w:tcPr>
          <w:p w14:paraId="21EC385C">
            <w:pPr>
              <w:snapToGrid w:val="0"/>
              <w:jc w:val="center"/>
              <w:rPr>
                <w:rFonts w:hint="eastAsia" w:ascii="宋体" w:hAnsi="宋体" w:eastAsia="宋体" w:cs="宋体"/>
                <w:szCs w:val="21"/>
              </w:rPr>
            </w:pPr>
          </w:p>
        </w:tc>
        <w:tc>
          <w:tcPr>
            <w:tcW w:w="1460" w:type="dxa"/>
            <w:vAlign w:val="center"/>
          </w:tcPr>
          <w:p w14:paraId="21204C1B">
            <w:pPr>
              <w:snapToGrid w:val="0"/>
              <w:jc w:val="center"/>
              <w:rPr>
                <w:rFonts w:hint="eastAsia" w:ascii="宋体" w:hAnsi="宋体" w:eastAsia="宋体" w:cs="宋体"/>
                <w:szCs w:val="21"/>
              </w:rPr>
            </w:pPr>
          </w:p>
        </w:tc>
        <w:tc>
          <w:tcPr>
            <w:tcW w:w="1290" w:type="dxa"/>
            <w:gridSpan w:val="2"/>
            <w:vAlign w:val="center"/>
          </w:tcPr>
          <w:p w14:paraId="26595AC2">
            <w:pPr>
              <w:snapToGrid w:val="0"/>
              <w:jc w:val="center"/>
              <w:rPr>
                <w:rFonts w:hint="eastAsia" w:ascii="宋体" w:hAnsi="宋体" w:eastAsia="宋体" w:cs="宋体"/>
                <w:szCs w:val="21"/>
              </w:rPr>
            </w:pPr>
          </w:p>
        </w:tc>
        <w:tc>
          <w:tcPr>
            <w:tcW w:w="1300" w:type="dxa"/>
            <w:vAlign w:val="center"/>
          </w:tcPr>
          <w:p w14:paraId="5D2E9BE1">
            <w:pPr>
              <w:snapToGrid w:val="0"/>
              <w:jc w:val="center"/>
              <w:rPr>
                <w:rFonts w:hint="eastAsia" w:ascii="宋体" w:hAnsi="宋体" w:eastAsia="宋体" w:cs="宋体"/>
                <w:szCs w:val="21"/>
              </w:rPr>
            </w:pPr>
            <w:r>
              <w:rPr>
                <w:rFonts w:hint="eastAsia" w:ascii="宋体" w:hAnsi="宋体" w:eastAsia="宋体" w:cs="宋体"/>
                <w:szCs w:val="21"/>
              </w:rPr>
              <w:t>□</w:t>
            </w:r>
          </w:p>
        </w:tc>
        <w:tc>
          <w:tcPr>
            <w:tcW w:w="1823" w:type="dxa"/>
            <w:vAlign w:val="center"/>
          </w:tcPr>
          <w:p w14:paraId="53C57EAB">
            <w:pPr>
              <w:snapToGrid w:val="0"/>
              <w:jc w:val="center"/>
              <w:rPr>
                <w:rFonts w:hint="eastAsia" w:ascii="宋体" w:hAnsi="宋体" w:eastAsia="宋体" w:cs="宋体"/>
                <w:szCs w:val="21"/>
              </w:rPr>
            </w:pPr>
            <w:r>
              <w:rPr>
                <w:rFonts w:hint="eastAsia" w:ascii="宋体" w:hAnsi="宋体" w:eastAsia="宋体" w:cs="宋体"/>
                <w:szCs w:val="21"/>
              </w:rPr>
              <w:t>□</w:t>
            </w:r>
          </w:p>
        </w:tc>
      </w:tr>
      <w:tr w14:paraId="2143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6" w:type="dxa"/>
            <w:vAlign w:val="center"/>
          </w:tcPr>
          <w:p w14:paraId="78741AD3">
            <w:pPr>
              <w:snapToGrid w:val="0"/>
              <w:jc w:val="center"/>
              <w:rPr>
                <w:rFonts w:hint="eastAsia" w:ascii="宋体" w:hAnsi="宋体" w:eastAsia="宋体" w:cs="宋体"/>
                <w:sz w:val="24"/>
                <w:szCs w:val="24"/>
              </w:rPr>
            </w:pPr>
          </w:p>
        </w:tc>
        <w:tc>
          <w:tcPr>
            <w:tcW w:w="660" w:type="dxa"/>
            <w:vAlign w:val="center"/>
          </w:tcPr>
          <w:p w14:paraId="254C1660">
            <w:pPr>
              <w:snapToGrid w:val="0"/>
              <w:jc w:val="center"/>
              <w:rPr>
                <w:rFonts w:hint="eastAsia" w:ascii="宋体" w:hAnsi="宋体" w:eastAsia="宋体" w:cs="宋体"/>
                <w:szCs w:val="21"/>
              </w:rPr>
            </w:pPr>
          </w:p>
        </w:tc>
        <w:tc>
          <w:tcPr>
            <w:tcW w:w="1480" w:type="dxa"/>
            <w:vAlign w:val="center"/>
          </w:tcPr>
          <w:p w14:paraId="59B0DAAB">
            <w:pPr>
              <w:snapToGrid w:val="0"/>
              <w:jc w:val="center"/>
              <w:rPr>
                <w:rFonts w:hint="eastAsia" w:ascii="宋体" w:hAnsi="宋体" w:eastAsia="宋体" w:cs="宋体"/>
                <w:szCs w:val="21"/>
              </w:rPr>
            </w:pPr>
          </w:p>
        </w:tc>
        <w:tc>
          <w:tcPr>
            <w:tcW w:w="1460" w:type="dxa"/>
            <w:vAlign w:val="center"/>
          </w:tcPr>
          <w:p w14:paraId="36739F8A">
            <w:pPr>
              <w:snapToGrid w:val="0"/>
              <w:jc w:val="center"/>
              <w:rPr>
                <w:rFonts w:hint="eastAsia" w:ascii="宋体" w:hAnsi="宋体" w:eastAsia="宋体" w:cs="宋体"/>
                <w:szCs w:val="21"/>
              </w:rPr>
            </w:pPr>
          </w:p>
        </w:tc>
        <w:tc>
          <w:tcPr>
            <w:tcW w:w="1290" w:type="dxa"/>
            <w:gridSpan w:val="2"/>
            <w:vAlign w:val="center"/>
          </w:tcPr>
          <w:p w14:paraId="6EEA2785">
            <w:pPr>
              <w:snapToGrid w:val="0"/>
              <w:jc w:val="center"/>
              <w:rPr>
                <w:rFonts w:hint="eastAsia" w:ascii="宋体" w:hAnsi="宋体" w:eastAsia="宋体" w:cs="宋体"/>
                <w:szCs w:val="21"/>
              </w:rPr>
            </w:pPr>
          </w:p>
        </w:tc>
        <w:tc>
          <w:tcPr>
            <w:tcW w:w="1300" w:type="dxa"/>
            <w:vAlign w:val="center"/>
          </w:tcPr>
          <w:p w14:paraId="201944B8">
            <w:pPr>
              <w:snapToGrid w:val="0"/>
              <w:jc w:val="center"/>
              <w:rPr>
                <w:rFonts w:hint="eastAsia" w:ascii="宋体" w:hAnsi="宋体" w:eastAsia="宋体" w:cs="宋体"/>
                <w:szCs w:val="21"/>
              </w:rPr>
            </w:pPr>
            <w:r>
              <w:rPr>
                <w:rFonts w:hint="eastAsia" w:ascii="宋体" w:hAnsi="宋体" w:eastAsia="宋体" w:cs="宋体"/>
                <w:szCs w:val="21"/>
              </w:rPr>
              <w:t>□</w:t>
            </w:r>
          </w:p>
        </w:tc>
        <w:tc>
          <w:tcPr>
            <w:tcW w:w="1823" w:type="dxa"/>
            <w:vAlign w:val="center"/>
          </w:tcPr>
          <w:p w14:paraId="2D1A175A">
            <w:pPr>
              <w:snapToGrid w:val="0"/>
              <w:jc w:val="center"/>
              <w:rPr>
                <w:rFonts w:hint="eastAsia" w:ascii="宋体" w:hAnsi="宋体" w:eastAsia="宋体" w:cs="宋体"/>
                <w:szCs w:val="21"/>
              </w:rPr>
            </w:pPr>
            <w:r>
              <w:rPr>
                <w:rFonts w:hint="eastAsia" w:ascii="宋体" w:hAnsi="宋体" w:eastAsia="宋体" w:cs="宋体"/>
                <w:szCs w:val="21"/>
              </w:rPr>
              <w:t>□</w:t>
            </w:r>
          </w:p>
        </w:tc>
      </w:tr>
      <w:tr w14:paraId="2BCC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836" w:type="dxa"/>
            <w:gridSpan w:val="2"/>
            <w:vAlign w:val="center"/>
          </w:tcPr>
          <w:p w14:paraId="11E04D72">
            <w:pPr>
              <w:snapToGrid w:val="0"/>
              <w:jc w:val="center"/>
              <w:rPr>
                <w:rFonts w:hint="eastAsia" w:ascii="宋体" w:hAnsi="宋体" w:eastAsia="宋体" w:cs="宋体"/>
                <w:b/>
                <w:sz w:val="24"/>
                <w:szCs w:val="24"/>
              </w:rPr>
            </w:pPr>
            <w:r>
              <w:rPr>
                <w:rFonts w:hint="eastAsia" w:ascii="宋体" w:hAnsi="宋体" w:eastAsia="宋体" w:cs="宋体"/>
                <w:b/>
                <w:sz w:val="24"/>
                <w:szCs w:val="24"/>
              </w:rPr>
              <w:t>会务费</w:t>
            </w:r>
          </w:p>
          <w:p w14:paraId="7A0F9C80">
            <w:pPr>
              <w:snapToGrid w:val="0"/>
              <w:jc w:val="center"/>
              <w:rPr>
                <w:rFonts w:hint="eastAsia" w:ascii="宋体" w:hAnsi="宋体" w:eastAsia="宋体" w:cs="宋体"/>
                <w:b/>
                <w:sz w:val="24"/>
                <w:szCs w:val="24"/>
              </w:rPr>
            </w:pPr>
            <w:r>
              <w:rPr>
                <w:rFonts w:hint="eastAsia" w:ascii="宋体" w:hAnsi="宋体" w:eastAsia="宋体" w:cs="宋体"/>
                <w:b/>
                <w:sz w:val="24"/>
                <w:szCs w:val="24"/>
              </w:rPr>
              <w:t>付款方式</w:t>
            </w:r>
          </w:p>
        </w:tc>
        <w:tc>
          <w:tcPr>
            <w:tcW w:w="3712" w:type="dxa"/>
            <w:gridSpan w:val="3"/>
            <w:vAlign w:val="center"/>
          </w:tcPr>
          <w:p w14:paraId="0F5A9DFA">
            <w:pPr>
              <w:snapToGrid w:val="0"/>
              <w:rPr>
                <w:rFonts w:hint="eastAsia" w:ascii="宋体" w:hAnsi="宋体" w:eastAsia="宋体" w:cs="宋体"/>
                <w:szCs w:val="21"/>
              </w:rPr>
            </w:pPr>
            <w:r>
              <w:rPr>
                <w:rFonts w:hint="eastAsia" w:ascii="宋体" w:hAnsi="宋体" w:eastAsia="宋体" w:cs="宋体"/>
                <w:szCs w:val="21"/>
              </w:rPr>
              <w:t>◎银行转账</w:t>
            </w:r>
          </w:p>
          <w:p w14:paraId="1574EB18">
            <w:pPr>
              <w:tabs>
                <w:tab w:val="left" w:pos="746"/>
              </w:tabs>
              <w:snapToGrid w:val="0"/>
              <w:rPr>
                <w:rFonts w:hint="eastAsia" w:ascii="宋体" w:hAnsi="宋体" w:eastAsia="宋体" w:cs="宋体"/>
                <w:szCs w:val="21"/>
              </w:rPr>
            </w:pPr>
            <w:r>
              <w:rPr>
                <w:rFonts w:hint="eastAsia" w:ascii="宋体" w:hAnsi="宋体" w:eastAsia="宋体" w:cs="宋体"/>
                <w:szCs w:val="21"/>
              </w:rPr>
              <w:t>户名：上海建科文化传媒有限公司</w:t>
            </w:r>
          </w:p>
          <w:p w14:paraId="1C2E759B">
            <w:pPr>
              <w:tabs>
                <w:tab w:val="left" w:pos="746"/>
              </w:tabs>
              <w:snapToGrid w:val="0"/>
              <w:rPr>
                <w:rFonts w:hint="eastAsia" w:ascii="宋体" w:hAnsi="宋体" w:eastAsia="宋体" w:cs="宋体"/>
                <w:szCs w:val="21"/>
              </w:rPr>
            </w:pPr>
            <w:r>
              <w:rPr>
                <w:rFonts w:hint="eastAsia" w:ascii="宋体" w:hAnsi="宋体" w:eastAsia="宋体" w:cs="宋体"/>
                <w:szCs w:val="21"/>
              </w:rPr>
              <w:t>开户行：招商银行上海分行徐家汇支行</w:t>
            </w:r>
          </w:p>
          <w:p w14:paraId="753BDE1F">
            <w:pPr>
              <w:snapToGrid w:val="0"/>
              <w:rPr>
                <w:rFonts w:hint="eastAsia" w:ascii="宋体" w:hAnsi="宋体" w:eastAsia="宋体" w:cs="宋体"/>
                <w:szCs w:val="21"/>
              </w:rPr>
            </w:pPr>
            <w:r>
              <w:rPr>
                <w:rFonts w:hint="eastAsia" w:ascii="宋体" w:hAnsi="宋体" w:eastAsia="宋体" w:cs="宋体"/>
                <w:szCs w:val="21"/>
              </w:rPr>
              <w:t>账号：121926192710203</w:t>
            </w:r>
          </w:p>
          <w:p w14:paraId="70DA06D3">
            <w:pPr>
              <w:snapToGrid w:val="0"/>
              <w:rPr>
                <w:rFonts w:hint="eastAsia" w:ascii="宋体" w:hAnsi="宋体" w:eastAsia="宋体" w:cs="宋体"/>
                <w:szCs w:val="21"/>
              </w:rPr>
            </w:pPr>
          </w:p>
          <w:p w14:paraId="0052DB68">
            <w:pPr>
              <w:snapToGrid w:val="0"/>
              <w:rPr>
                <w:rFonts w:hint="eastAsia" w:ascii="宋体" w:hAnsi="宋体" w:eastAsia="宋体" w:cs="宋体"/>
                <w:szCs w:val="21"/>
              </w:rPr>
            </w:pPr>
            <w:r>
              <w:rPr>
                <w:rFonts w:hint="eastAsia" w:ascii="宋体" w:hAnsi="宋体" w:eastAsia="宋体" w:cs="宋体"/>
                <w:szCs w:val="21"/>
              </w:rPr>
              <w:t>汇款日期：    月    日</w:t>
            </w:r>
          </w:p>
        </w:tc>
        <w:tc>
          <w:tcPr>
            <w:tcW w:w="3641" w:type="dxa"/>
            <w:gridSpan w:val="3"/>
            <w:vAlign w:val="center"/>
          </w:tcPr>
          <w:p w14:paraId="5CA51ECF">
            <w:pPr>
              <w:snapToGrid w:val="0"/>
              <w:jc w:val="left"/>
              <w:rPr>
                <w:rFonts w:hint="eastAsia" w:ascii="宋体" w:hAnsi="宋体" w:eastAsia="宋体" w:cs="宋体"/>
                <w:szCs w:val="21"/>
              </w:rPr>
            </w:pPr>
            <w:r>
              <w:rPr>
                <w:rFonts w:hint="eastAsia" w:ascii="宋体" w:hAnsi="宋体" w:eastAsia="宋体" w:cs="宋体"/>
                <w:szCs w:val="21"/>
              </w:rPr>
              <w:t>增值税开票信息：</w:t>
            </w:r>
          </w:p>
          <w:p w14:paraId="0DACCC62">
            <w:pPr>
              <w:snapToGrid w:val="0"/>
              <w:jc w:val="left"/>
              <w:rPr>
                <w:rFonts w:hint="eastAsia" w:ascii="宋体" w:hAnsi="宋体" w:eastAsia="宋体" w:cs="宋体"/>
                <w:szCs w:val="21"/>
              </w:rPr>
            </w:pPr>
          </w:p>
          <w:p w14:paraId="1F705696">
            <w:pPr>
              <w:snapToGrid w:val="0"/>
              <w:jc w:val="left"/>
              <w:rPr>
                <w:rFonts w:hint="eastAsia" w:ascii="宋体" w:hAnsi="宋体" w:eastAsia="宋体" w:cs="宋体"/>
                <w:szCs w:val="21"/>
              </w:rPr>
            </w:pPr>
          </w:p>
          <w:p w14:paraId="2DE768F7">
            <w:pPr>
              <w:snapToGrid w:val="0"/>
              <w:jc w:val="left"/>
              <w:rPr>
                <w:rFonts w:hint="eastAsia" w:ascii="宋体" w:hAnsi="宋体" w:eastAsia="宋体" w:cs="宋体"/>
                <w:szCs w:val="21"/>
              </w:rPr>
            </w:pPr>
          </w:p>
          <w:p w14:paraId="09FBB013">
            <w:pPr>
              <w:snapToGrid w:val="0"/>
              <w:jc w:val="left"/>
              <w:rPr>
                <w:rFonts w:hint="eastAsia" w:ascii="宋体" w:hAnsi="宋体" w:eastAsia="宋体" w:cs="宋体"/>
                <w:szCs w:val="21"/>
              </w:rPr>
            </w:pPr>
          </w:p>
          <w:p w14:paraId="3C512F49">
            <w:pPr>
              <w:snapToGrid w:val="0"/>
              <w:jc w:val="left"/>
              <w:rPr>
                <w:rFonts w:hint="eastAsia" w:ascii="宋体" w:hAnsi="宋体" w:eastAsia="宋体" w:cs="宋体"/>
                <w:szCs w:val="21"/>
              </w:rPr>
            </w:pPr>
          </w:p>
          <w:p w14:paraId="053BD901">
            <w:pPr>
              <w:snapToGrid w:val="0"/>
              <w:jc w:val="left"/>
              <w:rPr>
                <w:rFonts w:hint="eastAsia" w:ascii="宋体" w:hAnsi="宋体" w:eastAsia="宋体" w:cs="宋体"/>
                <w:szCs w:val="21"/>
              </w:rPr>
            </w:pPr>
          </w:p>
          <w:p w14:paraId="05862BB8">
            <w:pPr>
              <w:snapToGrid w:val="0"/>
              <w:jc w:val="left"/>
              <w:rPr>
                <w:rFonts w:hint="eastAsia" w:ascii="宋体" w:hAnsi="宋体" w:eastAsia="宋体" w:cs="宋体"/>
                <w:szCs w:val="21"/>
              </w:rPr>
            </w:pPr>
          </w:p>
        </w:tc>
      </w:tr>
      <w:tr w14:paraId="3EF8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6" w:type="dxa"/>
            <w:gridSpan w:val="2"/>
            <w:vAlign w:val="center"/>
          </w:tcPr>
          <w:p w14:paraId="2EA30727">
            <w:pPr>
              <w:snapToGrid w:val="0"/>
              <w:jc w:val="center"/>
              <w:rPr>
                <w:rFonts w:hint="eastAsia" w:ascii="宋体" w:hAnsi="宋体" w:eastAsia="宋体" w:cs="宋体"/>
                <w:b/>
                <w:sz w:val="24"/>
                <w:szCs w:val="24"/>
              </w:rPr>
            </w:pPr>
            <w:r>
              <w:rPr>
                <w:rFonts w:hint="eastAsia" w:ascii="宋体" w:hAnsi="宋体" w:eastAsia="宋体" w:cs="宋体"/>
                <w:b/>
                <w:sz w:val="24"/>
                <w:szCs w:val="24"/>
              </w:rPr>
              <w:t>备 注</w:t>
            </w:r>
          </w:p>
        </w:tc>
        <w:tc>
          <w:tcPr>
            <w:tcW w:w="7353" w:type="dxa"/>
            <w:gridSpan w:val="6"/>
            <w:vAlign w:val="center"/>
          </w:tcPr>
          <w:p w14:paraId="30ACFCC9">
            <w:pPr>
              <w:snapToGrid w:val="0"/>
              <w:spacing w:line="360" w:lineRule="exact"/>
              <w:rPr>
                <w:rFonts w:hint="eastAsia" w:ascii="宋体" w:hAnsi="宋体" w:eastAsia="宋体" w:cs="宋体"/>
                <w:szCs w:val="21"/>
              </w:rPr>
            </w:pPr>
          </w:p>
          <w:p w14:paraId="064666BF">
            <w:pPr>
              <w:snapToGrid w:val="0"/>
              <w:spacing w:line="360" w:lineRule="exact"/>
              <w:rPr>
                <w:rFonts w:hint="eastAsia" w:ascii="宋体" w:hAnsi="宋体" w:eastAsia="宋体" w:cs="宋体"/>
                <w:szCs w:val="21"/>
              </w:rPr>
            </w:pPr>
          </w:p>
        </w:tc>
      </w:tr>
    </w:tbl>
    <w:p w14:paraId="0AAD457B">
      <w:pPr>
        <w:spacing w:line="360" w:lineRule="auto"/>
        <w:rPr>
          <w:rFonts w:hint="eastAsia" w:ascii="宋体" w:hAnsi="宋体" w:eastAsia="宋体" w:cs="宋体"/>
          <w:b/>
          <w:bCs w:val="0"/>
          <w:color w:val="7030A0"/>
          <w:sz w:val="28"/>
          <w:szCs w:val="28"/>
          <w:lang w:val="en-US" w:eastAsia="zh-CN"/>
        </w:rPr>
      </w:pPr>
    </w:p>
    <w:p w14:paraId="4B878417">
      <w:pPr>
        <w:spacing w:line="360" w:lineRule="auto"/>
        <w:rPr>
          <w:rFonts w:hint="eastAsia" w:ascii="宋体" w:hAnsi="宋体" w:eastAsia="宋体" w:cs="宋体"/>
          <w:b/>
          <w:bCs w:val="0"/>
          <w:color w:val="7030A0"/>
          <w:sz w:val="36"/>
          <w:szCs w:val="36"/>
          <w:lang w:val="en-US" w:eastAsia="zh-CN"/>
        </w:rPr>
      </w:pPr>
      <w:r>
        <w:rPr>
          <w:rFonts w:hint="eastAsia" w:ascii="宋体" w:hAnsi="宋体" w:eastAsia="宋体" w:cs="宋体"/>
          <w:b/>
          <w:bCs w:val="0"/>
          <w:color w:val="7030A0"/>
          <w:sz w:val="36"/>
          <w:szCs w:val="36"/>
          <w:lang w:val="en-US" w:eastAsia="zh-CN"/>
        </w:rPr>
        <w:t xml:space="preserve">会务联系人：王子维  电话：136 6197 6267  </w:t>
      </w:r>
    </w:p>
    <w:p w14:paraId="26B3FBC8">
      <w:pPr>
        <w:spacing w:line="360" w:lineRule="auto"/>
        <w:ind w:firstLine="2168" w:firstLineChars="600"/>
        <w:rPr>
          <w:rFonts w:hint="eastAsia" w:ascii="宋体" w:hAnsi="宋体" w:eastAsia="宋体" w:cs="宋体"/>
          <w:b/>
          <w:bCs w:val="0"/>
          <w:color w:val="7030A0"/>
          <w:sz w:val="36"/>
          <w:szCs w:val="36"/>
          <w:lang w:val="en-US" w:eastAsia="zh-CN"/>
        </w:rPr>
      </w:pPr>
      <w:r>
        <w:rPr>
          <w:rFonts w:hint="eastAsia" w:ascii="宋体" w:hAnsi="宋体" w:eastAsia="宋体" w:cs="宋体"/>
          <w:b/>
          <w:bCs w:val="0"/>
          <w:color w:val="7030A0"/>
          <w:sz w:val="36"/>
          <w:szCs w:val="36"/>
          <w:lang w:val="en-US" w:eastAsia="zh-CN"/>
        </w:rPr>
        <w:t>回执邮箱：1275073960@qq.com</w:t>
      </w:r>
    </w:p>
    <w:p w14:paraId="4EAB0B7D">
      <w:pPr>
        <w:spacing w:line="360" w:lineRule="auto"/>
        <w:rPr>
          <w:rFonts w:hint="eastAsia" w:ascii="宋体" w:hAnsi="宋体" w:eastAsia="宋体" w:cs="宋体"/>
          <w:b/>
          <w:bCs/>
          <w:color w:val="7030A0"/>
          <w:sz w:val="36"/>
          <w:szCs w:val="36"/>
        </w:rPr>
      </w:pPr>
      <w:r>
        <w:rPr>
          <w:rFonts w:hint="eastAsia" w:ascii="宋体" w:hAnsi="宋体" w:eastAsia="宋体" w:cs="宋体"/>
          <w:b/>
          <w:bCs w:val="0"/>
          <w:color w:val="7030A0"/>
          <w:sz w:val="36"/>
          <w:szCs w:val="36"/>
        </w:rPr>
        <w:t>注：</w:t>
      </w:r>
      <w:r>
        <w:rPr>
          <w:rFonts w:hint="eastAsia" w:ascii="宋体" w:hAnsi="宋体" w:eastAsia="宋体" w:cs="宋体"/>
          <w:b/>
          <w:bCs/>
          <w:color w:val="7030A0"/>
          <w:sz w:val="36"/>
          <w:szCs w:val="36"/>
        </w:rPr>
        <w:t>请于10月28日前将会务费进行银行转账。</w:t>
      </w:r>
    </w:p>
    <w:p w14:paraId="34BFB888">
      <w:pPr>
        <w:spacing w:line="380" w:lineRule="exact"/>
        <w:ind w:right="840" w:firstLine="720" w:firstLineChars="200"/>
        <w:jc w:val="left"/>
        <w:rPr>
          <w:rFonts w:hint="eastAsia" w:ascii="宋体" w:hAnsi="宋体" w:eastAsia="宋体" w:cs="宋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36F40F-EAB4-43CA-B969-5B6D0C56C7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yYTRjZjNmMTMzNmRjOTE1ZTlhYjJhZmY4ODFkZmEifQ=="/>
    <w:docVar w:name="KSO_WPS_MARK_KEY" w:val="c7485843-07ab-4e08-b02a-85bfc73d1d7f"/>
  </w:docVars>
  <w:rsids>
    <w:rsidRoot w:val="00B4248C"/>
    <w:rsid w:val="00111A72"/>
    <w:rsid w:val="00140C15"/>
    <w:rsid w:val="00175470"/>
    <w:rsid w:val="001927B0"/>
    <w:rsid w:val="001F12CD"/>
    <w:rsid w:val="001F7800"/>
    <w:rsid w:val="002431E9"/>
    <w:rsid w:val="00281A21"/>
    <w:rsid w:val="002E09AE"/>
    <w:rsid w:val="00303BD7"/>
    <w:rsid w:val="00381C03"/>
    <w:rsid w:val="0043421F"/>
    <w:rsid w:val="00452051"/>
    <w:rsid w:val="00480558"/>
    <w:rsid w:val="00566A44"/>
    <w:rsid w:val="00567807"/>
    <w:rsid w:val="00596DB8"/>
    <w:rsid w:val="0060423F"/>
    <w:rsid w:val="00605F8E"/>
    <w:rsid w:val="0061001A"/>
    <w:rsid w:val="00625B8D"/>
    <w:rsid w:val="00637280"/>
    <w:rsid w:val="00655FBC"/>
    <w:rsid w:val="006A7C5C"/>
    <w:rsid w:val="006D36B8"/>
    <w:rsid w:val="00712DA0"/>
    <w:rsid w:val="00737696"/>
    <w:rsid w:val="00751E9F"/>
    <w:rsid w:val="007578DA"/>
    <w:rsid w:val="00773C99"/>
    <w:rsid w:val="007974B3"/>
    <w:rsid w:val="00856AA4"/>
    <w:rsid w:val="00870FCA"/>
    <w:rsid w:val="00886AF5"/>
    <w:rsid w:val="008D23C0"/>
    <w:rsid w:val="008D6FCF"/>
    <w:rsid w:val="008E67A7"/>
    <w:rsid w:val="00902DEA"/>
    <w:rsid w:val="00972067"/>
    <w:rsid w:val="009C573E"/>
    <w:rsid w:val="009D00E1"/>
    <w:rsid w:val="00A30028"/>
    <w:rsid w:val="00A4068D"/>
    <w:rsid w:val="00A534A6"/>
    <w:rsid w:val="00AF4CE0"/>
    <w:rsid w:val="00B14433"/>
    <w:rsid w:val="00B3718B"/>
    <w:rsid w:val="00B4248C"/>
    <w:rsid w:val="00BB4F64"/>
    <w:rsid w:val="00C160A6"/>
    <w:rsid w:val="00CD4355"/>
    <w:rsid w:val="00D05EE2"/>
    <w:rsid w:val="00D24A3A"/>
    <w:rsid w:val="00D521BE"/>
    <w:rsid w:val="00D532F2"/>
    <w:rsid w:val="00E334DE"/>
    <w:rsid w:val="00E349C3"/>
    <w:rsid w:val="00E40378"/>
    <w:rsid w:val="00E432AF"/>
    <w:rsid w:val="00E45D5C"/>
    <w:rsid w:val="00E74CEB"/>
    <w:rsid w:val="00E91D9C"/>
    <w:rsid w:val="00EE2898"/>
    <w:rsid w:val="00FA19B8"/>
    <w:rsid w:val="00FE6509"/>
    <w:rsid w:val="00FF6133"/>
    <w:rsid w:val="27515A5B"/>
    <w:rsid w:val="315B5FAD"/>
    <w:rsid w:val="31EC565E"/>
    <w:rsid w:val="328A407A"/>
    <w:rsid w:val="34B029BC"/>
    <w:rsid w:val="35923CDA"/>
    <w:rsid w:val="37626A85"/>
    <w:rsid w:val="4296697E"/>
    <w:rsid w:val="441E6832"/>
    <w:rsid w:val="44BF734F"/>
    <w:rsid w:val="49FE36E6"/>
    <w:rsid w:val="4D2A1BFA"/>
    <w:rsid w:val="4DFA2335"/>
    <w:rsid w:val="51E02BA0"/>
    <w:rsid w:val="51E57D45"/>
    <w:rsid w:val="56466B05"/>
    <w:rsid w:val="56CB395D"/>
    <w:rsid w:val="58041C3B"/>
    <w:rsid w:val="597107A3"/>
    <w:rsid w:val="5DB86A71"/>
    <w:rsid w:val="62C54841"/>
    <w:rsid w:val="6BD50264"/>
    <w:rsid w:val="744E7BD9"/>
    <w:rsid w:val="78241802"/>
    <w:rsid w:val="7AB6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Emphasis"/>
    <w:basedOn w:val="8"/>
    <w:autoRedefine/>
    <w:qFormat/>
    <w:uiPriority w:val="20"/>
    <w:rPr>
      <w:i/>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bjh-p"/>
    <w:basedOn w:val="8"/>
    <w:autoRedefine/>
    <w:qFormat/>
    <w:uiPriority w:val="0"/>
  </w:style>
  <w:style w:type="character" w:customStyle="1" w:styleId="13">
    <w:name w:val="页眉 字符"/>
    <w:basedOn w:val="8"/>
    <w:link w:val="4"/>
    <w:autoRedefine/>
    <w:qFormat/>
    <w:uiPriority w:val="99"/>
    <w:rPr>
      <w:sz w:val="18"/>
      <w:szCs w:val="18"/>
    </w:rPr>
  </w:style>
  <w:style w:type="character" w:customStyle="1" w:styleId="14">
    <w:name w:val="页脚 字符"/>
    <w:basedOn w:val="8"/>
    <w:link w:val="3"/>
    <w:autoRedefine/>
    <w:qFormat/>
    <w:uiPriority w:val="99"/>
    <w:rPr>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86B8-0777-49F0-982B-4B9E82375688}">
  <ds:schemaRefs/>
</ds:datastoreItem>
</file>

<file path=docProps/app.xml><?xml version="1.0" encoding="utf-8"?>
<Properties xmlns="http://schemas.openxmlformats.org/officeDocument/2006/extended-properties" xmlns:vt="http://schemas.openxmlformats.org/officeDocument/2006/docPropsVTypes">
  <Template>Normal</Template>
  <Pages>5</Pages>
  <Words>2198</Words>
  <Characters>2426</Characters>
  <Lines>18</Lines>
  <Paragraphs>5</Paragraphs>
  <TotalTime>4</TotalTime>
  <ScaleCrop>false</ScaleCrop>
  <LinksUpToDate>false</LinksUpToDate>
  <CharactersWithSpaces>2513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2024-04-30T06:35:00Z</dcterms:created>
  <dc:creator>Lenovo</dc:creator>
  <cp:lastModifiedBy>圆融的孤独者</cp:lastModifiedBy>
  <cp:lastPrinted>2024-08-21T06:29:00Z</cp:lastPrinted>
  <dcterms:modified xsi:type="dcterms:W3CDTF">2025-09-23T00:12:12Z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E655F507EE684676B77941A7D5B1F387_13</vt:lpwstr>
  </property>
  <property fmtid="{D5CDD505-2E9C-101B-9397-08002B2CF9AE}" pid="4" name="KSOTemplateDocerSaveRecord">
    <vt:lpwstr>eyJoZGlkIjoiMzEwNTM5NzYwMDRjMzkwZTVkZjY2ODkwMGIxNGU0OTUiLCJ1c2VySWQiOiIzNDI1NjkxNDcifQ==</vt:lpwstr>
  </property>
</Properties>
</file>